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799F4" w14:textId="7FD4F5BD" w:rsidR="0039794E" w:rsidRDefault="0039794E" w:rsidP="00122854">
      <w:pPr>
        <w:pStyle w:val="Ttulo9"/>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rPr>
          <w:b/>
          <w:bCs/>
          <w:sz w:val="40"/>
          <w:szCs w:val="40"/>
          <w:lang w:val="pt-BR"/>
        </w:rPr>
      </w:pPr>
      <w:bookmarkStart w:id="0" w:name="_GoBack"/>
      <w:bookmarkEnd w:id="0"/>
    </w:p>
    <w:p w14:paraId="27E44EC5" w14:textId="7CAE9FD3" w:rsidR="00E60B7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rPr>
          <w:lang w:val="pt-BR"/>
        </w:rPr>
      </w:pPr>
    </w:p>
    <w:p w14:paraId="52364DB3" w14:textId="084FA32C" w:rsidR="00E60B7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rPr>
          <w:lang w:val="pt-BR"/>
        </w:rPr>
      </w:pPr>
    </w:p>
    <w:p w14:paraId="1CBA7DC6" w14:textId="77777777" w:rsidR="00E60B7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4"/>
          <w:szCs w:val="44"/>
          <w:lang w:val="pt-BR"/>
        </w:rPr>
      </w:pPr>
    </w:p>
    <w:p w14:paraId="1AFA4F2E" w14:textId="77777777" w:rsidR="003B3DED" w:rsidRDefault="003B3DED"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4"/>
          <w:szCs w:val="44"/>
          <w:lang w:val="pt-BR"/>
        </w:rPr>
      </w:pPr>
    </w:p>
    <w:p w14:paraId="445E434C" w14:textId="77777777" w:rsidR="00E60B7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4"/>
          <w:szCs w:val="44"/>
          <w:lang w:val="pt-BR"/>
        </w:rPr>
      </w:pPr>
    </w:p>
    <w:p w14:paraId="5990266D" w14:textId="77777777" w:rsidR="00D14137" w:rsidRDefault="00D14137"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4"/>
          <w:szCs w:val="44"/>
          <w:lang w:val="es-ES"/>
        </w:rPr>
      </w:pPr>
    </w:p>
    <w:p w14:paraId="2E1DC01E" w14:textId="787C2192" w:rsidR="00D14137" w:rsidRPr="00C571A3" w:rsidRDefault="00C571A3"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color w:val="00B0F0"/>
          <w:sz w:val="40"/>
          <w:szCs w:val="40"/>
          <w:highlight w:val="yellow"/>
          <w:lang w:val="es-ES"/>
        </w:rPr>
      </w:pPr>
      <w:r w:rsidRPr="00C571A3">
        <w:rPr>
          <w:b/>
          <w:bCs/>
          <w:color w:val="00B0F0"/>
          <w:sz w:val="40"/>
          <w:szCs w:val="40"/>
          <w:lang w:val="es-ES"/>
        </w:rPr>
        <w:t xml:space="preserve">Informe sobre </w:t>
      </w:r>
      <w:r w:rsidR="00A90774">
        <w:rPr>
          <w:b/>
          <w:bCs/>
          <w:color w:val="00B0F0"/>
          <w:sz w:val="40"/>
          <w:szCs w:val="40"/>
          <w:lang w:val="es-ES"/>
        </w:rPr>
        <w:t>“</w:t>
      </w:r>
      <w:r w:rsidR="00C459DF">
        <w:rPr>
          <w:b/>
          <w:bCs/>
          <w:color w:val="00B0F0"/>
          <w:sz w:val="40"/>
          <w:szCs w:val="40"/>
          <w:lang w:val="es-ES"/>
        </w:rPr>
        <w:t>Principios de análisis de impacto regulatorio e implementación en América Latina</w:t>
      </w:r>
      <w:r w:rsidR="00A90774">
        <w:rPr>
          <w:b/>
          <w:bCs/>
          <w:color w:val="00B0F0"/>
          <w:sz w:val="40"/>
          <w:szCs w:val="40"/>
          <w:lang w:val="es-ES"/>
        </w:rPr>
        <w:t>”</w:t>
      </w:r>
    </w:p>
    <w:p w14:paraId="2BF82370" w14:textId="77777777" w:rsidR="00E14D63" w:rsidRPr="00CD73FC" w:rsidRDefault="00E14D63"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4"/>
          <w:szCs w:val="44"/>
          <w:lang w:val="es-ES"/>
        </w:rPr>
      </w:pPr>
    </w:p>
    <w:p w14:paraId="1FD0BD88" w14:textId="2603BE42" w:rsidR="00E60B7C"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0"/>
          <w:szCs w:val="40"/>
          <w:lang w:val="es-ES"/>
        </w:rPr>
      </w:pPr>
    </w:p>
    <w:p w14:paraId="78A6C3A0" w14:textId="30ABCAEC" w:rsidR="00E60B7C"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0"/>
          <w:szCs w:val="40"/>
          <w:lang w:val="es-ES"/>
        </w:rPr>
      </w:pPr>
    </w:p>
    <w:p w14:paraId="676F6472" w14:textId="376D6100" w:rsidR="00E60B7C"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0"/>
          <w:szCs w:val="40"/>
          <w:lang w:val="es-ES"/>
        </w:rPr>
      </w:pPr>
    </w:p>
    <w:p w14:paraId="7A2F12F1" w14:textId="7AF68E80" w:rsidR="00E60B7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0"/>
          <w:szCs w:val="40"/>
          <w:lang w:val="es-ES"/>
        </w:rPr>
      </w:pPr>
    </w:p>
    <w:p w14:paraId="26CC487E" w14:textId="77777777" w:rsidR="003B3DED" w:rsidRDefault="003B3DED"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0"/>
          <w:szCs w:val="40"/>
          <w:lang w:val="es-ES"/>
        </w:rPr>
      </w:pPr>
    </w:p>
    <w:p w14:paraId="2A9DD3D9" w14:textId="77777777" w:rsidR="003B3DED" w:rsidRDefault="003B3DED"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0"/>
          <w:szCs w:val="40"/>
          <w:lang w:val="es-ES"/>
        </w:rPr>
      </w:pPr>
    </w:p>
    <w:p w14:paraId="6D4483E8" w14:textId="77777777" w:rsidR="003053A0" w:rsidRDefault="003053A0"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0"/>
          <w:szCs w:val="40"/>
          <w:lang w:val="es-ES"/>
        </w:rPr>
      </w:pPr>
    </w:p>
    <w:p w14:paraId="2ADAA66C" w14:textId="77777777" w:rsidR="003053A0" w:rsidRPr="00CD73FC" w:rsidRDefault="003053A0"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center"/>
        <w:rPr>
          <w:b/>
          <w:bCs/>
          <w:sz w:val="40"/>
          <w:szCs w:val="40"/>
          <w:lang w:val="es-ES"/>
        </w:rPr>
      </w:pPr>
    </w:p>
    <w:p w14:paraId="4DD2D8B1" w14:textId="77777777" w:rsidR="00E60B7C"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right"/>
        <w:rPr>
          <w:b/>
          <w:bCs/>
          <w:sz w:val="32"/>
          <w:szCs w:val="32"/>
          <w:lang w:val="es-ES"/>
        </w:rPr>
      </w:pPr>
    </w:p>
    <w:p w14:paraId="3CAF2E3C" w14:textId="77777777" w:rsidR="00E60B7C"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right"/>
        <w:rPr>
          <w:b/>
          <w:bCs/>
          <w:sz w:val="32"/>
          <w:szCs w:val="32"/>
          <w:lang w:val="es-ES"/>
        </w:rPr>
      </w:pPr>
    </w:p>
    <w:p w14:paraId="5FC5B484" w14:textId="1E6B60B7" w:rsidR="00E60B7C"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right"/>
        <w:rPr>
          <w:b/>
          <w:bCs/>
          <w:sz w:val="32"/>
          <w:szCs w:val="32"/>
          <w:lang w:val="es-ES"/>
        </w:rPr>
      </w:pPr>
      <w:r w:rsidRPr="00CD73FC">
        <w:rPr>
          <w:b/>
          <w:bCs/>
          <w:sz w:val="32"/>
          <w:szCs w:val="32"/>
          <w:lang w:val="es-ES"/>
        </w:rPr>
        <w:t>SUBGRUPO DE TRABA</w:t>
      </w:r>
      <w:r w:rsidR="00CD73FC" w:rsidRPr="00CD73FC">
        <w:rPr>
          <w:b/>
          <w:bCs/>
          <w:sz w:val="32"/>
          <w:szCs w:val="32"/>
          <w:lang w:val="es-ES"/>
        </w:rPr>
        <w:t>J</w:t>
      </w:r>
      <w:r w:rsidRPr="00CD73FC">
        <w:rPr>
          <w:b/>
          <w:bCs/>
          <w:sz w:val="32"/>
          <w:szCs w:val="32"/>
          <w:lang w:val="es-ES"/>
        </w:rPr>
        <w:t>O N° 4</w:t>
      </w:r>
    </w:p>
    <w:p w14:paraId="09744515" w14:textId="3ED1F0DD" w:rsidR="00E60B7C"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right"/>
        <w:rPr>
          <w:b/>
          <w:bCs/>
          <w:sz w:val="32"/>
          <w:szCs w:val="32"/>
          <w:lang w:val="es-ES"/>
        </w:rPr>
      </w:pPr>
      <w:r w:rsidRPr="00CD73FC">
        <w:rPr>
          <w:b/>
          <w:bCs/>
          <w:sz w:val="32"/>
          <w:szCs w:val="32"/>
          <w:lang w:val="es-ES"/>
        </w:rPr>
        <w:t>ASUNTOS FINANCI</w:t>
      </w:r>
      <w:r w:rsidR="00CD73FC" w:rsidRPr="00CD73FC">
        <w:rPr>
          <w:b/>
          <w:bCs/>
          <w:sz w:val="32"/>
          <w:szCs w:val="32"/>
          <w:lang w:val="es-ES"/>
        </w:rPr>
        <w:t>E</w:t>
      </w:r>
      <w:r w:rsidRPr="00CD73FC">
        <w:rPr>
          <w:b/>
          <w:bCs/>
          <w:sz w:val="32"/>
          <w:szCs w:val="32"/>
          <w:lang w:val="es-ES"/>
        </w:rPr>
        <w:t>ROS</w:t>
      </w:r>
    </w:p>
    <w:p w14:paraId="5B2D01A1" w14:textId="77777777" w:rsidR="00E60B7C"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right"/>
        <w:rPr>
          <w:b/>
          <w:bCs/>
          <w:sz w:val="32"/>
          <w:szCs w:val="32"/>
          <w:lang w:val="es-ES"/>
        </w:rPr>
      </w:pPr>
    </w:p>
    <w:p w14:paraId="453A69B0" w14:textId="430BA360" w:rsidR="00E60B7C"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right"/>
        <w:rPr>
          <w:b/>
          <w:bCs/>
          <w:sz w:val="32"/>
          <w:szCs w:val="32"/>
          <w:lang w:val="es-ES"/>
        </w:rPr>
      </w:pPr>
      <w:r w:rsidRPr="00CD73FC">
        <w:rPr>
          <w:b/>
          <w:bCs/>
          <w:sz w:val="32"/>
          <w:szCs w:val="32"/>
          <w:lang w:val="es-ES"/>
        </w:rPr>
        <w:t>COMIS</w:t>
      </w:r>
      <w:r w:rsidR="00CD73FC" w:rsidRPr="00CD73FC">
        <w:rPr>
          <w:b/>
          <w:bCs/>
          <w:sz w:val="32"/>
          <w:szCs w:val="32"/>
          <w:lang w:val="es-ES"/>
        </w:rPr>
        <w:t>IÓN</w:t>
      </w:r>
      <w:r w:rsidRPr="00CD73FC">
        <w:rPr>
          <w:b/>
          <w:bCs/>
          <w:sz w:val="32"/>
          <w:szCs w:val="32"/>
          <w:lang w:val="es-ES"/>
        </w:rPr>
        <w:t xml:space="preserve"> D</w:t>
      </w:r>
      <w:r w:rsidR="00CD73FC" w:rsidRPr="00CD73FC">
        <w:rPr>
          <w:b/>
          <w:bCs/>
          <w:sz w:val="32"/>
          <w:szCs w:val="32"/>
          <w:lang w:val="es-ES"/>
        </w:rPr>
        <w:t>E</w:t>
      </w:r>
      <w:r w:rsidR="003F3E68">
        <w:rPr>
          <w:b/>
          <w:bCs/>
          <w:sz w:val="32"/>
          <w:szCs w:val="32"/>
          <w:lang w:val="es-ES"/>
        </w:rPr>
        <w:t>L</w:t>
      </w:r>
      <w:r w:rsidRPr="00CD73FC">
        <w:rPr>
          <w:b/>
          <w:bCs/>
          <w:sz w:val="32"/>
          <w:szCs w:val="32"/>
          <w:lang w:val="es-ES"/>
        </w:rPr>
        <w:t xml:space="preserve"> SISTEMA BANCARIO</w:t>
      </w:r>
    </w:p>
    <w:p w14:paraId="261666FF" w14:textId="2976D78B" w:rsidR="00122854"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right"/>
        <w:rPr>
          <w:b/>
          <w:bCs/>
          <w:sz w:val="32"/>
          <w:szCs w:val="32"/>
          <w:lang w:val="es-ES"/>
        </w:rPr>
      </w:pPr>
      <w:r w:rsidRPr="00CD73FC">
        <w:rPr>
          <w:b/>
          <w:bCs/>
          <w:sz w:val="32"/>
          <w:szCs w:val="32"/>
          <w:lang w:val="es-ES"/>
        </w:rPr>
        <w:t>O</w:t>
      </w:r>
      <w:r w:rsidR="00CD73FC" w:rsidRPr="00CD73FC">
        <w:rPr>
          <w:b/>
          <w:bCs/>
          <w:sz w:val="32"/>
          <w:szCs w:val="32"/>
          <w:lang w:val="es-ES"/>
        </w:rPr>
        <w:t>ctubre de</w:t>
      </w:r>
      <w:r w:rsidRPr="00CD73FC">
        <w:rPr>
          <w:b/>
          <w:bCs/>
          <w:sz w:val="32"/>
          <w:szCs w:val="32"/>
          <w:lang w:val="es-ES"/>
        </w:rPr>
        <w:t xml:space="preserve"> 202</w:t>
      </w:r>
      <w:r w:rsidR="00777BF1">
        <w:rPr>
          <w:b/>
          <w:bCs/>
          <w:sz w:val="32"/>
          <w:szCs w:val="32"/>
          <w:lang w:val="es-ES"/>
        </w:rPr>
        <w:t>4</w:t>
      </w:r>
    </w:p>
    <w:p w14:paraId="60B2C27A" w14:textId="2D050613" w:rsidR="00A766FF" w:rsidRPr="00CD73FC" w:rsidRDefault="00E60B7C" w:rsidP="00122854">
      <w:pPr>
        <w:pBdr>
          <w:top w:val="thinThickThinSmallGap" w:sz="24" w:space="1" w:color="2F5496" w:themeColor="accent1" w:themeShade="BF"/>
          <w:left w:val="thinThickThinSmallGap" w:sz="24" w:space="4" w:color="2F5496" w:themeColor="accent1" w:themeShade="BF"/>
          <w:bottom w:val="thinThickThinSmallGap" w:sz="24" w:space="1" w:color="2F5496" w:themeColor="accent1" w:themeShade="BF"/>
          <w:right w:val="thinThickThinSmallGap" w:sz="24" w:space="4" w:color="2F5496" w:themeColor="accent1" w:themeShade="BF"/>
        </w:pBdr>
        <w:jc w:val="right"/>
        <w:rPr>
          <w:b/>
          <w:bCs/>
          <w:sz w:val="32"/>
          <w:szCs w:val="32"/>
          <w:lang w:val="es-ES"/>
        </w:rPr>
      </w:pPr>
      <w:r w:rsidRPr="00CD73FC">
        <w:rPr>
          <w:b/>
          <w:bCs/>
          <w:sz w:val="32"/>
          <w:szCs w:val="32"/>
          <w:lang w:val="es-ES"/>
        </w:rPr>
        <w:t xml:space="preserve"> </w:t>
      </w:r>
    </w:p>
    <w:p w14:paraId="15DA484D" w14:textId="77777777" w:rsidR="00405933" w:rsidRDefault="00405933">
      <w:pPr>
        <w:rPr>
          <w:b/>
          <w:bCs/>
          <w:sz w:val="28"/>
          <w:szCs w:val="28"/>
          <w:lang w:val="es-ES"/>
        </w:rPr>
      </w:pPr>
      <w:bookmarkStart w:id="1" w:name="_Hlk85746898"/>
    </w:p>
    <w:p w14:paraId="133FC18E" w14:textId="3AE6C1A5" w:rsidR="00843725" w:rsidRDefault="00843725">
      <w:pPr>
        <w:rPr>
          <w:b/>
          <w:bCs/>
          <w:sz w:val="28"/>
          <w:szCs w:val="28"/>
          <w:lang w:val="es-ES"/>
        </w:rPr>
      </w:pPr>
      <w:r>
        <w:rPr>
          <w:b/>
          <w:bCs/>
          <w:sz w:val="28"/>
          <w:szCs w:val="28"/>
          <w:lang w:val="es-ES"/>
        </w:rPr>
        <w:br w:type="page"/>
      </w:r>
    </w:p>
    <w:bookmarkEnd w:id="1"/>
    <w:p w14:paraId="1AD5C092" w14:textId="77777777" w:rsidR="00312992" w:rsidRDefault="00312992" w:rsidP="00312992">
      <w:pPr>
        <w:spacing w:before="42" w:line="297" w:lineRule="auto"/>
        <w:ind w:right="92"/>
        <w:jc w:val="both"/>
        <w:rPr>
          <w:rFonts w:cs="Arial"/>
        </w:rPr>
      </w:pPr>
    </w:p>
    <w:p w14:paraId="752BBF24" w14:textId="163D0CF7" w:rsidR="00BC75D9" w:rsidRPr="00BC75D9" w:rsidRDefault="00BC75D9" w:rsidP="00BC75D9">
      <w:pPr>
        <w:jc w:val="center"/>
        <w:rPr>
          <w:rFonts w:eastAsia="Arial MT"/>
          <w:b/>
          <w:bCs/>
          <w:color w:val="00B0F0"/>
          <w:u w:val="single"/>
        </w:rPr>
      </w:pPr>
      <w:r w:rsidRPr="00BC75D9">
        <w:rPr>
          <w:b/>
          <w:bCs/>
          <w:color w:val="00B0F0"/>
          <w:u w:val="single"/>
        </w:rPr>
        <w:t>Principios de análisis de impacto regulatorio e implementación en América Latina</w:t>
      </w:r>
    </w:p>
    <w:p w14:paraId="0E6FE76D" w14:textId="77777777" w:rsidR="00BC75D9" w:rsidRPr="00BC75D9" w:rsidRDefault="00BC75D9" w:rsidP="00BC75D9">
      <w:pPr>
        <w:rPr>
          <w:rFonts w:eastAsia="Arial MT"/>
        </w:rPr>
      </w:pPr>
    </w:p>
    <w:p w14:paraId="1549514C" w14:textId="28C0528D" w:rsidR="00312992" w:rsidRPr="00BC75D9" w:rsidRDefault="00312992" w:rsidP="00312992">
      <w:pPr>
        <w:pStyle w:val="Ttulo3"/>
        <w:numPr>
          <w:ilvl w:val="0"/>
          <w:numId w:val="22"/>
        </w:numPr>
        <w:ind w:left="360"/>
        <w:rPr>
          <w:rFonts w:eastAsia="Arial MT"/>
          <w:color w:val="00B0F0"/>
        </w:rPr>
      </w:pPr>
      <w:r w:rsidRPr="00BC75D9">
        <w:rPr>
          <w:rFonts w:eastAsia="Arial MT"/>
          <w:color w:val="00B0F0"/>
        </w:rPr>
        <w:t>Principios de análisis de impacto regulatorio</w:t>
      </w:r>
    </w:p>
    <w:p w14:paraId="38C08330" w14:textId="77777777" w:rsidR="00312992" w:rsidRPr="00397B5D" w:rsidRDefault="00312992" w:rsidP="00312992">
      <w:pPr>
        <w:spacing w:before="42" w:line="297" w:lineRule="auto"/>
        <w:ind w:right="92"/>
        <w:jc w:val="both"/>
        <w:rPr>
          <w:iCs/>
          <w:sz w:val="18"/>
        </w:rPr>
      </w:pPr>
    </w:p>
    <w:p w14:paraId="4C759337" w14:textId="77777777" w:rsidR="00312992" w:rsidRPr="00A11342" w:rsidRDefault="00312992" w:rsidP="00312992">
      <w:pPr>
        <w:jc w:val="both"/>
        <w:rPr>
          <w:rFonts w:cs="Arial"/>
        </w:rPr>
      </w:pPr>
      <w:r w:rsidRPr="00A11342">
        <w:rPr>
          <w:rFonts w:cs="Arial"/>
        </w:rPr>
        <w:t>Las crisis financieras y los ciclos económicos, la innovación, el cambio social, los retos medioambientales y la búsqueda de nuevas fuentes de crecimiento ponen de relieve la importancia de los marcos regula</w:t>
      </w:r>
      <w:r>
        <w:rPr>
          <w:rFonts w:cs="Arial"/>
        </w:rPr>
        <w:t>torios</w:t>
      </w:r>
      <w:r w:rsidRPr="00A11342">
        <w:rPr>
          <w:rFonts w:cs="Arial"/>
        </w:rPr>
        <w:t xml:space="preserve"> para el buen funcionamiento de los mercados y las sociedades y de las políticas e instituciones reguladoras para hacer frente a la interconexión de los sectores y las economías.</w:t>
      </w:r>
    </w:p>
    <w:p w14:paraId="559D8975" w14:textId="77777777" w:rsidR="00312992" w:rsidRPr="00A11342" w:rsidRDefault="00312992" w:rsidP="00312992">
      <w:pPr>
        <w:jc w:val="both"/>
        <w:rPr>
          <w:rFonts w:cs="Arial"/>
        </w:rPr>
      </w:pPr>
    </w:p>
    <w:p w14:paraId="17AF3D99" w14:textId="77777777" w:rsidR="00312992" w:rsidRDefault="00312992" w:rsidP="00312992">
      <w:pPr>
        <w:jc w:val="both"/>
      </w:pPr>
      <w:r w:rsidRPr="00A11342">
        <w:rPr>
          <w:rFonts w:cs="Arial"/>
        </w:rPr>
        <w:t xml:space="preserve">En tal sentido, la </w:t>
      </w:r>
      <w:r>
        <w:rPr>
          <w:rFonts w:cs="Arial"/>
        </w:rPr>
        <w:t>Organización para la Cooperación y Desarrollo Económico (</w:t>
      </w:r>
      <w:r w:rsidRPr="00A11342">
        <w:rPr>
          <w:rFonts w:cs="Arial"/>
        </w:rPr>
        <w:t>OCDE</w:t>
      </w:r>
      <w:r>
        <w:rPr>
          <w:rFonts w:cs="Arial"/>
        </w:rPr>
        <w:t>)</w:t>
      </w:r>
      <w:r w:rsidRPr="00A11342">
        <w:rPr>
          <w:rFonts w:cs="Arial"/>
        </w:rPr>
        <w:t xml:space="preserve"> recomienda a los gobernantes integrar </w:t>
      </w:r>
      <w:r>
        <w:rPr>
          <w:rFonts w:cs="Arial"/>
        </w:rPr>
        <w:t>al análisis</w:t>
      </w:r>
      <w:r w:rsidRPr="00A11342">
        <w:rPr>
          <w:rFonts w:cs="Arial"/>
        </w:rPr>
        <w:t xml:space="preserve"> de impacto regulatorio (</w:t>
      </w:r>
      <w:r>
        <w:rPr>
          <w:rFonts w:cs="Arial"/>
        </w:rPr>
        <w:t>A</w:t>
      </w:r>
      <w:r w:rsidRPr="00A11342">
        <w:rPr>
          <w:rFonts w:cs="Arial"/>
        </w:rPr>
        <w:t>IR</w:t>
      </w:r>
      <w:r>
        <w:rPr>
          <w:rStyle w:val="Refdenotaalpie"/>
          <w:rFonts w:cs="Arial"/>
        </w:rPr>
        <w:footnoteReference w:id="1"/>
      </w:r>
      <w:r w:rsidRPr="00A11342">
        <w:rPr>
          <w:rFonts w:cs="Arial"/>
        </w:rPr>
        <w:t>)</w:t>
      </w:r>
      <w:r>
        <w:rPr>
          <w:rFonts w:cs="Arial"/>
        </w:rPr>
        <w:t xml:space="preserve"> que es</w:t>
      </w:r>
      <w:r>
        <w:t xml:space="preserve"> </w:t>
      </w:r>
      <w:r w:rsidRPr="00143AAB">
        <w:t>una herramienta que ayuda a los formuladores de políticas a identificar y evaluar los costos y beneficios potenciales de las propuestas regulatorias</w:t>
      </w:r>
      <w:r>
        <w:t xml:space="preserve"> </w:t>
      </w:r>
      <w:r w:rsidRPr="00143AAB">
        <w:t>para la sociedad</w:t>
      </w:r>
      <w:r>
        <w:t>.</w:t>
      </w:r>
      <w:r w:rsidRPr="000108D7">
        <w:t xml:space="preserve"> </w:t>
      </w:r>
    </w:p>
    <w:p w14:paraId="38DAE63B" w14:textId="77777777" w:rsidR="00312992" w:rsidRDefault="00312992" w:rsidP="00312992">
      <w:pPr>
        <w:jc w:val="both"/>
      </w:pPr>
    </w:p>
    <w:p w14:paraId="40BF427F" w14:textId="77777777" w:rsidR="00312992" w:rsidRDefault="00312992" w:rsidP="00312992">
      <w:pPr>
        <w:jc w:val="both"/>
      </w:pPr>
      <w:r>
        <w:t>Cabe mencionar que varios países de América Latina y el Caribe desarrollan AIR. No obstante, sigue habiendo una brecha respecto a su implementación. Solamente e</w:t>
      </w:r>
      <w:r w:rsidRPr="00237925">
        <w:t xml:space="preserve">n 5 de los 11 países </w:t>
      </w:r>
      <w:r>
        <w:t xml:space="preserve">encuestados </w:t>
      </w:r>
      <w:r w:rsidRPr="00237925">
        <w:t xml:space="preserve">de </w:t>
      </w:r>
      <w:r>
        <w:t xml:space="preserve">América Latina y el Caribe </w:t>
      </w:r>
      <w:r w:rsidRPr="00237925">
        <w:t xml:space="preserve">(45%) se </w:t>
      </w:r>
      <w:r>
        <w:t>desarrollan</w:t>
      </w:r>
      <w:r w:rsidRPr="00237925">
        <w:t xml:space="preserve"> AIR para un número reducido de regulaciones</w:t>
      </w:r>
      <w:r>
        <w:t xml:space="preserve"> subordinadas.</w:t>
      </w:r>
    </w:p>
    <w:p w14:paraId="0466CC8B" w14:textId="77777777" w:rsidR="00312992" w:rsidRDefault="00312992" w:rsidP="00312992">
      <w:pPr>
        <w:jc w:val="both"/>
        <w:rPr>
          <w:rFonts w:cs="Arial"/>
        </w:rPr>
      </w:pPr>
    </w:p>
    <w:p w14:paraId="76C1B221" w14:textId="77777777" w:rsidR="00312992" w:rsidRDefault="00312992" w:rsidP="00312992">
      <w:pPr>
        <w:jc w:val="both"/>
        <w:rPr>
          <w:rFonts w:cs="Arial"/>
        </w:rPr>
      </w:pPr>
    </w:p>
    <w:p w14:paraId="7FDBA0AF" w14:textId="77777777" w:rsidR="00312992" w:rsidRPr="005676B0" w:rsidRDefault="00312992" w:rsidP="00312992">
      <w:pPr>
        <w:jc w:val="center"/>
        <w:rPr>
          <w:rFonts w:cs="Arial"/>
          <w:b/>
          <w:sz w:val="18"/>
          <w:szCs w:val="18"/>
        </w:rPr>
      </w:pPr>
      <w:r>
        <w:rPr>
          <w:rFonts w:cs="Arial"/>
          <w:b/>
          <w:sz w:val="18"/>
          <w:szCs w:val="18"/>
        </w:rPr>
        <w:t>Estado de a</w:t>
      </w:r>
      <w:r w:rsidRPr="005676B0">
        <w:rPr>
          <w:rFonts w:cs="Arial"/>
          <w:b/>
          <w:sz w:val="18"/>
          <w:szCs w:val="18"/>
        </w:rPr>
        <w:t>plicación de AIR en América Latina y el Caribe</w:t>
      </w:r>
    </w:p>
    <w:p w14:paraId="27B04DCA" w14:textId="77777777" w:rsidR="00312992" w:rsidRDefault="00312992" w:rsidP="00312992">
      <w:pPr>
        <w:jc w:val="both"/>
        <w:rPr>
          <w:rFonts w:cs="Arial"/>
        </w:rPr>
      </w:pPr>
    </w:p>
    <w:p w14:paraId="31A50DBC" w14:textId="77777777" w:rsidR="00312992" w:rsidRPr="008E08A0" w:rsidRDefault="00312992" w:rsidP="00312992">
      <w:pPr>
        <w:jc w:val="both"/>
        <w:rPr>
          <w:rFonts w:cs="Arial"/>
          <w:lang w:val="es-UY"/>
        </w:rPr>
      </w:pPr>
      <w:r w:rsidRPr="008E08A0">
        <w:rPr>
          <w:rFonts w:cs="Arial"/>
          <w:noProof/>
          <w:lang w:val="es-UY" w:eastAsia="es-UY"/>
        </w:rPr>
        <w:drawing>
          <wp:inline distT="0" distB="0" distL="0" distR="0" wp14:anchorId="43AAF8E4" wp14:editId="221F5C8E">
            <wp:extent cx="5676900" cy="2537460"/>
            <wp:effectExtent l="0" t="0" r="0" b="0"/>
            <wp:docPr id="1576773193" name="Imagen 1576773193" descr="C:\Users\amari\AppData\Local\Packages\Microsoft.Windows.Photos_8wekyb3d8bbwe\TempState\ShareServiceTempFolder\072E6FAD-D313-438D-907A-0A913E30F6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ri\AppData\Local\Packages\Microsoft.Windows.Photos_8wekyb3d8bbwe\TempState\ShareServiceTempFolder\072E6FAD-D313-438D-907A-0A913E30F62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2537460"/>
                    </a:xfrm>
                    <a:prstGeom prst="rect">
                      <a:avLst/>
                    </a:prstGeom>
                    <a:noFill/>
                    <a:ln>
                      <a:noFill/>
                    </a:ln>
                  </pic:spPr>
                </pic:pic>
              </a:graphicData>
            </a:graphic>
          </wp:inline>
        </w:drawing>
      </w:r>
    </w:p>
    <w:p w14:paraId="240CA67D" w14:textId="77777777" w:rsidR="00312992" w:rsidRDefault="00312992" w:rsidP="00312992">
      <w:pPr>
        <w:jc w:val="both"/>
        <w:rPr>
          <w:rFonts w:cs="Arial"/>
          <w:sz w:val="16"/>
          <w:szCs w:val="16"/>
        </w:rPr>
      </w:pPr>
    </w:p>
    <w:p w14:paraId="145BBDF0" w14:textId="77777777" w:rsidR="00312992" w:rsidRPr="00D1256A" w:rsidRDefault="00312992" w:rsidP="00312992">
      <w:pPr>
        <w:ind w:left="1416"/>
        <w:jc w:val="both"/>
        <w:rPr>
          <w:rFonts w:cs="Arial"/>
          <w:sz w:val="16"/>
          <w:szCs w:val="16"/>
        </w:rPr>
      </w:pPr>
      <w:r w:rsidRPr="00D1256A">
        <w:rPr>
          <w:rFonts w:cs="Arial"/>
          <w:sz w:val="16"/>
          <w:szCs w:val="16"/>
        </w:rPr>
        <w:t>Fuente: OECD (2024), Government at a Glance: Latin America and the Caribbean 2024, OECD  Publishing, Paris.</w:t>
      </w:r>
    </w:p>
    <w:p w14:paraId="1E926054" w14:textId="77777777" w:rsidR="00312992" w:rsidRDefault="00312992" w:rsidP="00312992">
      <w:pPr>
        <w:jc w:val="both"/>
        <w:rPr>
          <w:rFonts w:cs="Arial"/>
        </w:rPr>
      </w:pPr>
    </w:p>
    <w:p w14:paraId="70863C92" w14:textId="77777777" w:rsidR="00312992" w:rsidRPr="00A11342" w:rsidRDefault="00312992" w:rsidP="00312992">
      <w:pPr>
        <w:jc w:val="both"/>
        <w:rPr>
          <w:rFonts w:cs="Arial"/>
        </w:rPr>
      </w:pPr>
      <w:r>
        <w:rPr>
          <w:rFonts w:cs="Arial"/>
        </w:rPr>
        <w:t>E</w:t>
      </w:r>
      <w:r w:rsidRPr="00A11342">
        <w:rPr>
          <w:rFonts w:cs="Arial"/>
        </w:rPr>
        <w:t>n las primeras fases del proceso político de formulación de nuevas propuestas normativas, identificar claramente los objetivos políticos y evaluar si la regulación es necesaria y cómo puede ser más eficaz y eficiente para alcanzar dichos objetivo</w:t>
      </w:r>
      <w:r>
        <w:rPr>
          <w:rFonts w:cs="Arial"/>
        </w:rPr>
        <w:t>s</w:t>
      </w:r>
      <w:r w:rsidRPr="00A11342">
        <w:rPr>
          <w:rFonts w:cs="Arial"/>
        </w:rPr>
        <w:t xml:space="preserve"> y </w:t>
      </w:r>
      <w:r w:rsidRPr="00A11342">
        <w:rPr>
          <w:rFonts w:cs="Arial"/>
        </w:rPr>
        <w:lastRenderedPageBreak/>
        <w:t>considerar medios distintos de la regulación e identificar las ventajas y desventajas de los distintos enfoques analizados para determinar cuál es el mejor.</w:t>
      </w:r>
    </w:p>
    <w:p w14:paraId="68CEA6DF" w14:textId="77777777" w:rsidR="00312992" w:rsidRPr="00A11342" w:rsidRDefault="00312992" w:rsidP="00312992">
      <w:pPr>
        <w:jc w:val="both"/>
        <w:rPr>
          <w:rFonts w:cs="Arial"/>
        </w:rPr>
      </w:pPr>
    </w:p>
    <w:p w14:paraId="5AE4A056" w14:textId="77777777" w:rsidR="00312992" w:rsidRPr="00A11342" w:rsidRDefault="00312992" w:rsidP="00312992">
      <w:pPr>
        <w:jc w:val="both"/>
        <w:rPr>
          <w:rFonts w:cs="Arial"/>
        </w:rPr>
      </w:pPr>
      <w:r w:rsidRPr="00A11342">
        <w:rPr>
          <w:rFonts w:cs="Arial"/>
        </w:rPr>
        <w:t>Las políticas de evaluación ex ante deben requerir la identificación de una necesidad política específica y el objetivo de la regulación, como la corrección de un fallo del mercado o la necesidad de proteger los derechos de los ciudadanos que justifique el uso de la regulación</w:t>
      </w:r>
      <w:r>
        <w:rPr>
          <w:rStyle w:val="Refdenotaalpie"/>
          <w:rFonts w:cs="Arial"/>
        </w:rPr>
        <w:footnoteReference w:id="2"/>
      </w:r>
      <w:r>
        <w:rPr>
          <w:rFonts w:cs="Arial"/>
        </w:rPr>
        <w:t>.</w:t>
      </w:r>
    </w:p>
    <w:p w14:paraId="0FE7EF97" w14:textId="77777777" w:rsidR="00312992" w:rsidRPr="00A11342" w:rsidRDefault="00312992" w:rsidP="00312992">
      <w:pPr>
        <w:jc w:val="both"/>
        <w:rPr>
          <w:rFonts w:cs="Arial"/>
        </w:rPr>
      </w:pPr>
    </w:p>
    <w:p w14:paraId="4FDF405B" w14:textId="77777777" w:rsidR="00312992" w:rsidRPr="00A11342" w:rsidRDefault="00312992" w:rsidP="00312992">
      <w:pPr>
        <w:jc w:val="both"/>
        <w:rPr>
          <w:rFonts w:cs="Arial"/>
        </w:rPr>
      </w:pPr>
      <w:r w:rsidRPr="00A11342">
        <w:rPr>
          <w:rFonts w:cs="Arial"/>
        </w:rPr>
        <w:t>Las políticas de evaluación ex ante deben incluir una consideración de formas alternativas de abordar los objetivos de las políticas públicas, incluyendo alternativas regula</w:t>
      </w:r>
      <w:r>
        <w:rPr>
          <w:rFonts w:cs="Arial"/>
        </w:rPr>
        <w:t>torias</w:t>
      </w:r>
      <w:r w:rsidRPr="00A11342">
        <w:rPr>
          <w:rFonts w:cs="Arial"/>
        </w:rPr>
        <w:t xml:space="preserve"> y no regula</w:t>
      </w:r>
      <w:r>
        <w:rPr>
          <w:rFonts w:cs="Arial"/>
        </w:rPr>
        <w:t>torias</w:t>
      </w:r>
      <w:r w:rsidRPr="00A11342">
        <w:rPr>
          <w:rFonts w:cs="Arial"/>
        </w:rPr>
        <w:t xml:space="preserve"> para identificar y seleccionar el instrumento más adecuado, o la combinación de instrumentos para alcanzar los objetivos políticos. Siempre debe tenerse en cuenta la opción de no actuar o el escenario de referencia. En la mayoría de los casos, la evaluación ex ante debe identificar los enfoques que puedan aportar el mayor beneficio neto a la sociedad, incluidos los enfoques complementarios, como una combinación de regulación, educación y normas voluntarias.</w:t>
      </w:r>
    </w:p>
    <w:p w14:paraId="42B4CE5B" w14:textId="77777777" w:rsidR="00312992" w:rsidRDefault="00312992" w:rsidP="00312992">
      <w:pPr>
        <w:jc w:val="both"/>
        <w:rPr>
          <w:rFonts w:cs="Arial"/>
        </w:rPr>
      </w:pPr>
    </w:p>
    <w:p w14:paraId="2D5D5718" w14:textId="77777777" w:rsidR="00312992" w:rsidRPr="00A11342" w:rsidRDefault="00312992" w:rsidP="00312992">
      <w:pPr>
        <w:jc w:val="both"/>
        <w:rPr>
          <w:rFonts w:cs="Arial"/>
        </w:rPr>
      </w:pPr>
      <w:r>
        <w:rPr>
          <w:rFonts w:cs="Arial"/>
        </w:rPr>
        <w:t>L</w:t>
      </w:r>
      <w:r w:rsidRPr="00A11342">
        <w:rPr>
          <w:rFonts w:cs="Arial"/>
        </w:rPr>
        <w:t>a evaluación de impacto de la reglamentación debe hacerse pública junto con las propuestas de reglamentación. El análisis debe prepararse de forma adecuada y con tiempo suficiente para obtener aport</w:t>
      </w:r>
      <w:r>
        <w:rPr>
          <w:rFonts w:cs="Arial"/>
        </w:rPr>
        <w:t>e</w:t>
      </w:r>
      <w:r w:rsidRPr="00A11342">
        <w:rPr>
          <w:rFonts w:cs="Arial"/>
        </w:rPr>
        <w:t xml:space="preserve">s de las partes interesadas y contribuir a la toma de decisiones políticas. Una buena práctica consistiría en utilizar </w:t>
      </w:r>
      <w:r>
        <w:rPr>
          <w:rFonts w:cs="Arial"/>
        </w:rPr>
        <w:t xml:space="preserve">el AIR </w:t>
      </w:r>
      <w:r w:rsidRPr="00A11342">
        <w:rPr>
          <w:rFonts w:cs="Arial"/>
        </w:rPr>
        <w:t>como parte del proceso de consulta.</w:t>
      </w:r>
    </w:p>
    <w:p w14:paraId="70E30BFB" w14:textId="77777777" w:rsidR="00312992" w:rsidRPr="00A11342" w:rsidRDefault="00312992" w:rsidP="00312992">
      <w:pPr>
        <w:jc w:val="both"/>
        <w:rPr>
          <w:rFonts w:cs="Arial"/>
        </w:rPr>
      </w:pPr>
    </w:p>
    <w:p w14:paraId="514F9B56" w14:textId="77777777" w:rsidR="00312992" w:rsidRPr="00A11342" w:rsidRDefault="00312992" w:rsidP="00312992">
      <w:pPr>
        <w:jc w:val="both"/>
        <w:rPr>
          <w:rFonts w:cs="Arial"/>
        </w:rPr>
      </w:pPr>
      <w:r w:rsidRPr="00A11342">
        <w:rPr>
          <w:rFonts w:cs="Arial"/>
        </w:rPr>
        <w:t>Cuando las propuestas regula</w:t>
      </w:r>
      <w:r>
        <w:rPr>
          <w:rFonts w:cs="Arial"/>
        </w:rPr>
        <w:t>torias</w:t>
      </w:r>
      <w:r w:rsidRPr="00A11342">
        <w:rPr>
          <w:rFonts w:cs="Arial"/>
        </w:rPr>
        <w:t xml:space="preserve"> vayan a tener repercusiones importantes, la</w:t>
      </w:r>
      <w:r>
        <w:rPr>
          <w:rFonts w:cs="Arial"/>
        </w:rPr>
        <w:t xml:space="preserve"> evaluación ex ante de los costo</w:t>
      </w:r>
      <w:r w:rsidRPr="00A11342">
        <w:rPr>
          <w:rFonts w:cs="Arial"/>
        </w:rPr>
        <w:t>s, beneficios y riesgos debe ser cuantitativa siempre que sea posible. Los cost</w:t>
      </w:r>
      <w:r>
        <w:rPr>
          <w:rFonts w:cs="Arial"/>
        </w:rPr>
        <w:t>o</w:t>
      </w:r>
      <w:r w:rsidRPr="00A11342">
        <w:rPr>
          <w:rFonts w:cs="Arial"/>
        </w:rPr>
        <w:t>s regulatorios incluyen los cost</w:t>
      </w:r>
      <w:r>
        <w:rPr>
          <w:rFonts w:cs="Arial"/>
        </w:rPr>
        <w:t>o</w:t>
      </w:r>
      <w:r w:rsidRPr="00A11342">
        <w:rPr>
          <w:rFonts w:cs="Arial"/>
        </w:rPr>
        <w:t>s directos (administrativos, financieros y de capital), así como los indirectos (cost</w:t>
      </w:r>
      <w:r>
        <w:rPr>
          <w:rFonts w:cs="Arial"/>
        </w:rPr>
        <w:t>o</w:t>
      </w:r>
      <w:r w:rsidRPr="00A11342">
        <w:rPr>
          <w:rFonts w:cs="Arial"/>
        </w:rPr>
        <w:t>s de oportunidad), ya sean soportados por las empresas, los ciudadanos o el gobierno. En su caso, las evaluaciones ex ante deben proporcionar descripciones cualitativas de los impactos difíciles o imposibles de cuantificar, como la equidad, la justicia y los efectos distributivos.</w:t>
      </w:r>
    </w:p>
    <w:p w14:paraId="76071585" w14:textId="77777777" w:rsidR="00312992" w:rsidRDefault="00312992" w:rsidP="00312992">
      <w:pPr>
        <w:jc w:val="both"/>
        <w:rPr>
          <w:rFonts w:cs="Arial"/>
        </w:rPr>
      </w:pPr>
    </w:p>
    <w:p w14:paraId="08D18302" w14:textId="77777777" w:rsidR="00312992" w:rsidRDefault="00312992" w:rsidP="00312992">
      <w:pPr>
        <w:jc w:val="both"/>
        <w:rPr>
          <w:rFonts w:cs="Arial"/>
        </w:rPr>
      </w:pPr>
      <w:r w:rsidRPr="00A11342">
        <w:rPr>
          <w:rFonts w:cs="Arial"/>
        </w:rPr>
        <w:t xml:space="preserve">Las políticas de evaluación ex ante </w:t>
      </w:r>
      <w:r>
        <w:rPr>
          <w:rFonts w:cs="Arial"/>
        </w:rPr>
        <w:t>y</w:t>
      </w:r>
      <w:r w:rsidRPr="00A11342">
        <w:rPr>
          <w:rFonts w:cs="Arial"/>
        </w:rPr>
        <w:t xml:space="preserve"> la regulación debe</w:t>
      </w:r>
      <w:r>
        <w:rPr>
          <w:rFonts w:cs="Arial"/>
        </w:rPr>
        <w:t>n</w:t>
      </w:r>
      <w:r w:rsidRPr="00A11342">
        <w:rPr>
          <w:rFonts w:cs="Arial"/>
        </w:rPr>
        <w:t xml:space="preserve"> tratar de mejorar, no de disuadir, la competencia y el bienestar de los consumidores</w:t>
      </w:r>
      <w:r>
        <w:rPr>
          <w:rFonts w:cs="Arial"/>
        </w:rPr>
        <w:t>.</w:t>
      </w:r>
      <w:r w:rsidRPr="00A11342">
        <w:rPr>
          <w:rFonts w:cs="Arial"/>
        </w:rPr>
        <w:t xml:space="preserve"> </w:t>
      </w:r>
      <w:r>
        <w:rPr>
          <w:rFonts w:cs="Arial"/>
        </w:rPr>
        <w:t>E</w:t>
      </w:r>
      <w:r w:rsidRPr="00A11342">
        <w:rPr>
          <w:rFonts w:cs="Arial"/>
        </w:rPr>
        <w:t xml:space="preserve">n la medida en que las regulaciones dictadas </w:t>
      </w:r>
      <w:r>
        <w:rPr>
          <w:rFonts w:cs="Arial"/>
        </w:rPr>
        <w:t>en</w:t>
      </w:r>
      <w:r w:rsidRPr="00A11342">
        <w:rPr>
          <w:rFonts w:cs="Arial"/>
        </w:rPr>
        <w:t xml:space="preserve"> beneficio del interés público puedan afectar al proceso competitivo, las autoridades deben explorar formas de limitar los efectos adversos y evaluarlos cuidadosamente frente a los supuestos beneficios de la regulación. Esto incluye explorar si los objetivos de la regulación no pueden alcanzarse por otros medios menos restrictivos.</w:t>
      </w:r>
    </w:p>
    <w:p w14:paraId="689BA895" w14:textId="77777777" w:rsidR="00312992" w:rsidRPr="00A11342" w:rsidRDefault="00312992" w:rsidP="00312992">
      <w:pPr>
        <w:jc w:val="both"/>
        <w:rPr>
          <w:rFonts w:cs="Arial"/>
        </w:rPr>
      </w:pPr>
    </w:p>
    <w:p w14:paraId="369F598F" w14:textId="77777777" w:rsidR="00312992" w:rsidRPr="00A11342" w:rsidRDefault="00312992" w:rsidP="00312992">
      <w:pPr>
        <w:jc w:val="both"/>
        <w:rPr>
          <w:rFonts w:cs="Arial"/>
        </w:rPr>
      </w:pPr>
      <w:r w:rsidRPr="00A11342">
        <w:rPr>
          <w:rFonts w:cs="Arial"/>
        </w:rPr>
        <w:t xml:space="preserve">Se deben adoptar prácticas de evaluación de impacto ex ante que sean proporcionales a la importancia de la normativa e incluyan análisis de costes y beneficios que consideren las repercusiones de la normativa en el bienestar, teniendo en cuenta las repercusiones económicas, sociales y medioambientales, incluidos los efectos distributivos a lo largo del tiempo, identificando quién es probable que se beneficie y quién es probable que soporte los </w:t>
      </w:r>
      <w:r>
        <w:rPr>
          <w:rFonts w:cs="Arial"/>
        </w:rPr>
        <w:t>costos</w:t>
      </w:r>
      <w:r w:rsidRPr="00A11342">
        <w:rPr>
          <w:rFonts w:cs="Arial"/>
        </w:rPr>
        <w:t>.</w:t>
      </w:r>
    </w:p>
    <w:p w14:paraId="1A3B9F57" w14:textId="77777777" w:rsidR="00312992" w:rsidRPr="00A11342" w:rsidRDefault="00312992" w:rsidP="00312992">
      <w:pPr>
        <w:jc w:val="both"/>
        <w:rPr>
          <w:rFonts w:cs="Arial"/>
        </w:rPr>
      </w:pPr>
    </w:p>
    <w:p w14:paraId="7C5C7EA7" w14:textId="77777777" w:rsidR="00312992" w:rsidRPr="00A11342" w:rsidRDefault="00312992" w:rsidP="00312992">
      <w:pPr>
        <w:jc w:val="both"/>
        <w:rPr>
          <w:rFonts w:cs="Arial"/>
          <w:lang w:val="es-419"/>
        </w:rPr>
      </w:pPr>
      <w:r w:rsidRPr="00A11342">
        <w:rPr>
          <w:rFonts w:cs="Arial"/>
          <w:lang w:val="es-419"/>
        </w:rPr>
        <w:t xml:space="preserve">Un número cada vez mayor de miembros de la OCDE están introduciendo requisitos para que el </w:t>
      </w:r>
      <w:r>
        <w:rPr>
          <w:rFonts w:cs="Arial"/>
          <w:lang w:val="es-419"/>
        </w:rPr>
        <w:t>A</w:t>
      </w:r>
      <w:r w:rsidRPr="00A11342">
        <w:rPr>
          <w:rFonts w:cs="Arial"/>
          <w:lang w:val="es-419"/>
        </w:rPr>
        <w:t xml:space="preserve">IR sea proporcional a la importancia de los impactos anticipados, siguiendo así los Principios de Mejores Prácticas de Evaluación de impacto regulatorio (OCDE, 2020). </w:t>
      </w:r>
    </w:p>
    <w:p w14:paraId="0373D9C3" w14:textId="77777777" w:rsidR="00312992" w:rsidRPr="00A11342" w:rsidRDefault="00312992" w:rsidP="00312992">
      <w:pPr>
        <w:jc w:val="both"/>
        <w:rPr>
          <w:rFonts w:cs="Arial"/>
          <w:lang w:val="es-419"/>
        </w:rPr>
      </w:pPr>
    </w:p>
    <w:p w14:paraId="0E75C285" w14:textId="77777777" w:rsidR="00312992" w:rsidRPr="00A11342" w:rsidRDefault="00312992" w:rsidP="00312992">
      <w:pPr>
        <w:jc w:val="both"/>
        <w:rPr>
          <w:rFonts w:cs="Arial"/>
          <w:lang w:val="es-419"/>
        </w:rPr>
      </w:pPr>
      <w:r w:rsidRPr="00A11342">
        <w:rPr>
          <w:rFonts w:cs="Arial"/>
          <w:lang w:val="es-419"/>
        </w:rPr>
        <w:t xml:space="preserve">Si bien la mayoría de los miembros de la OCDE requieren que los </w:t>
      </w:r>
      <w:r>
        <w:rPr>
          <w:rFonts w:cs="Arial"/>
          <w:lang w:val="es-419"/>
        </w:rPr>
        <w:t>A</w:t>
      </w:r>
      <w:r w:rsidRPr="00A11342">
        <w:rPr>
          <w:rFonts w:cs="Arial"/>
          <w:lang w:val="es-419"/>
        </w:rPr>
        <w:t xml:space="preserve">IR sean proporcionales a la magnitud de los impactos previstos, estas obligaciones se han introducido a un ritmo menor que entre 2014 y 2017 y actualmente sigue habiendo aproximadamente el 15% de </w:t>
      </w:r>
      <w:r>
        <w:rPr>
          <w:rFonts w:cs="Arial"/>
          <w:lang w:val="es-419"/>
        </w:rPr>
        <w:t>m</w:t>
      </w:r>
      <w:r w:rsidRPr="00A11342">
        <w:rPr>
          <w:rFonts w:cs="Arial"/>
          <w:lang w:val="es-419"/>
        </w:rPr>
        <w:t>iembros de la OCDE que no tienen ningún requisito de proporcionalidad.</w:t>
      </w:r>
    </w:p>
    <w:p w14:paraId="56B41007" w14:textId="77777777" w:rsidR="00312992" w:rsidRDefault="00312992" w:rsidP="00312992">
      <w:pPr>
        <w:jc w:val="both"/>
        <w:rPr>
          <w:rFonts w:cs="Arial"/>
          <w:b/>
          <w:lang w:val="es-419"/>
        </w:rPr>
      </w:pPr>
    </w:p>
    <w:p w14:paraId="54D7C0B9" w14:textId="77777777" w:rsidR="00312992" w:rsidRDefault="00312992" w:rsidP="00312992">
      <w:pPr>
        <w:jc w:val="both"/>
        <w:rPr>
          <w:rFonts w:cs="Arial"/>
          <w:b/>
          <w:lang w:val="es-419"/>
        </w:rPr>
      </w:pPr>
    </w:p>
    <w:p w14:paraId="74094D6C" w14:textId="77777777" w:rsidR="00312992" w:rsidRPr="00770F9B" w:rsidRDefault="00312992" w:rsidP="00312992">
      <w:pPr>
        <w:jc w:val="center"/>
        <w:rPr>
          <w:rFonts w:cs="Arial"/>
          <w:b/>
          <w:sz w:val="18"/>
          <w:szCs w:val="18"/>
        </w:rPr>
      </w:pPr>
      <w:r w:rsidRPr="00770F9B">
        <w:rPr>
          <w:rFonts w:cs="Arial"/>
          <w:b/>
          <w:sz w:val="18"/>
          <w:szCs w:val="18"/>
        </w:rPr>
        <w:t>Aplicación de proporcionalidad en países de la OCDE</w:t>
      </w:r>
    </w:p>
    <w:p w14:paraId="23EC2EBC" w14:textId="77777777" w:rsidR="00312992" w:rsidRPr="00A11342" w:rsidRDefault="00312992" w:rsidP="00312992">
      <w:pPr>
        <w:tabs>
          <w:tab w:val="left" w:pos="3825"/>
        </w:tabs>
        <w:rPr>
          <w:rFonts w:cs="Arial"/>
          <w:lang w:val="es-419"/>
        </w:rPr>
      </w:pPr>
      <w:r w:rsidRPr="00A11342">
        <w:rPr>
          <w:rFonts w:cs="Arial"/>
          <w:noProof/>
          <w:lang w:val="es-UY" w:eastAsia="es-UY"/>
        </w:rPr>
        <w:drawing>
          <wp:inline distT="0" distB="0" distL="0" distR="0" wp14:anchorId="5A7AA305" wp14:editId="107E9733">
            <wp:extent cx="5487166" cy="2562583"/>
            <wp:effectExtent l="0" t="0" r="0" b="9525"/>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a:blip r:embed="rId9"/>
                    <a:stretch>
                      <a:fillRect/>
                    </a:stretch>
                  </pic:blipFill>
                  <pic:spPr>
                    <a:xfrm>
                      <a:off x="0" y="0"/>
                      <a:ext cx="5487166" cy="2562583"/>
                    </a:xfrm>
                    <a:prstGeom prst="rect">
                      <a:avLst/>
                    </a:prstGeom>
                  </pic:spPr>
                </pic:pic>
              </a:graphicData>
            </a:graphic>
          </wp:inline>
        </w:drawing>
      </w:r>
    </w:p>
    <w:p w14:paraId="36C99792" w14:textId="77777777" w:rsidR="00312992" w:rsidRPr="00416CA9" w:rsidRDefault="00312992" w:rsidP="00312992">
      <w:pPr>
        <w:tabs>
          <w:tab w:val="left" w:pos="3825"/>
        </w:tabs>
        <w:jc w:val="center"/>
        <w:rPr>
          <w:rFonts w:cs="Arial"/>
          <w:sz w:val="16"/>
          <w:szCs w:val="16"/>
          <w:lang w:val="es-419"/>
        </w:rPr>
      </w:pPr>
      <w:r w:rsidRPr="00416CA9">
        <w:rPr>
          <w:rFonts w:cs="Arial"/>
          <w:sz w:val="16"/>
          <w:szCs w:val="16"/>
          <w:lang w:val="es-419"/>
        </w:rPr>
        <w:t>Fuente:</w:t>
      </w:r>
      <w:r>
        <w:rPr>
          <w:rFonts w:cs="Arial"/>
          <w:sz w:val="16"/>
          <w:szCs w:val="16"/>
          <w:lang w:val="es-419"/>
        </w:rPr>
        <w:t xml:space="preserve"> </w:t>
      </w:r>
      <w:r w:rsidRPr="00416CA9">
        <w:rPr>
          <w:rFonts w:cs="Arial"/>
          <w:sz w:val="16"/>
          <w:szCs w:val="16"/>
          <w:lang w:val="es-419"/>
        </w:rPr>
        <w:t>OECD (2021), OECD Regulatory Policy Outlook 2021, OECD Publishing, Paris</w:t>
      </w:r>
    </w:p>
    <w:p w14:paraId="6EC89B7F" w14:textId="77777777" w:rsidR="00312992" w:rsidRPr="00416CA9" w:rsidRDefault="00312992" w:rsidP="00312992">
      <w:pPr>
        <w:tabs>
          <w:tab w:val="left" w:pos="3825"/>
        </w:tabs>
        <w:jc w:val="both"/>
        <w:rPr>
          <w:rFonts w:cs="Arial"/>
          <w:sz w:val="16"/>
          <w:szCs w:val="16"/>
          <w:lang w:val="es-419"/>
        </w:rPr>
      </w:pPr>
    </w:p>
    <w:p w14:paraId="210240B7" w14:textId="77777777" w:rsidR="00312992" w:rsidRDefault="00312992" w:rsidP="00312992">
      <w:pPr>
        <w:tabs>
          <w:tab w:val="left" w:pos="3825"/>
        </w:tabs>
        <w:jc w:val="both"/>
        <w:rPr>
          <w:rFonts w:cs="Arial"/>
          <w:lang w:val="es-419"/>
        </w:rPr>
      </w:pPr>
    </w:p>
    <w:p w14:paraId="6E795D68" w14:textId="77777777" w:rsidR="00312992" w:rsidRPr="00A11342" w:rsidRDefault="00312992" w:rsidP="00312992">
      <w:pPr>
        <w:tabs>
          <w:tab w:val="left" w:pos="3825"/>
        </w:tabs>
        <w:jc w:val="both"/>
        <w:rPr>
          <w:rFonts w:cs="Arial"/>
          <w:lang w:val="es-419"/>
        </w:rPr>
      </w:pPr>
      <w:r w:rsidRPr="00A11342">
        <w:rPr>
          <w:rFonts w:cs="Arial"/>
          <w:lang w:val="es-419"/>
        </w:rPr>
        <w:t xml:space="preserve">Una quinta parte de los miembros de la OCDE todavía utiliza una prueba de umbral para determinar si se lleva a cabo un </w:t>
      </w:r>
      <w:r>
        <w:rPr>
          <w:rFonts w:cs="Arial"/>
          <w:lang w:val="es-419"/>
        </w:rPr>
        <w:t>A</w:t>
      </w:r>
      <w:r w:rsidRPr="00A11342">
        <w:rPr>
          <w:rFonts w:cs="Arial"/>
          <w:lang w:val="es-419"/>
        </w:rPr>
        <w:t>IR. Demostrando que un número cada vez mayor de propuestas regulatorias experimentan al menos cierto nivel de impacto. Un método común entre los miembros de la OCDE para establecer un análisis ex ante proporcional es introducir una prueba de umbral para determinar si una propuesta regulatoria justifica un A</w:t>
      </w:r>
      <w:r>
        <w:rPr>
          <w:rFonts w:cs="Arial"/>
          <w:lang w:val="es-419"/>
        </w:rPr>
        <w:t>IR</w:t>
      </w:r>
      <w:r w:rsidRPr="00A11342">
        <w:rPr>
          <w:rFonts w:cs="Arial"/>
          <w:lang w:val="es-419"/>
        </w:rPr>
        <w:t xml:space="preserve"> más profundo. Paralelamente al requisito de proporcionalidad, el uso de la prueba de umbral ha aumentado en toda la OCDE.</w:t>
      </w:r>
    </w:p>
    <w:p w14:paraId="41015013" w14:textId="77777777" w:rsidR="00312992" w:rsidRPr="00A11342" w:rsidRDefault="00312992" w:rsidP="00312992">
      <w:pPr>
        <w:tabs>
          <w:tab w:val="left" w:pos="3825"/>
        </w:tabs>
        <w:jc w:val="both"/>
        <w:rPr>
          <w:rFonts w:cs="Arial"/>
          <w:lang w:val="es-419"/>
        </w:rPr>
      </w:pPr>
    </w:p>
    <w:p w14:paraId="6A69B4F4" w14:textId="77777777" w:rsidR="00312992" w:rsidRPr="00A11342" w:rsidRDefault="00312992" w:rsidP="00312992">
      <w:pPr>
        <w:tabs>
          <w:tab w:val="left" w:pos="3825"/>
        </w:tabs>
        <w:jc w:val="both"/>
        <w:rPr>
          <w:rFonts w:cs="Arial"/>
          <w:lang w:val="es-419"/>
        </w:rPr>
      </w:pPr>
      <w:r w:rsidRPr="00A11342">
        <w:rPr>
          <w:rFonts w:cs="Arial"/>
          <w:lang w:val="es-419"/>
        </w:rPr>
        <w:t xml:space="preserve">Si bien los principios de mejores prácticas sobre </w:t>
      </w:r>
      <w:r>
        <w:rPr>
          <w:rFonts w:cs="Arial"/>
          <w:lang w:val="es-419"/>
        </w:rPr>
        <w:t xml:space="preserve">AIR </w:t>
      </w:r>
      <w:r w:rsidRPr="00A11342">
        <w:rPr>
          <w:rFonts w:cs="Arial"/>
          <w:lang w:val="es-419"/>
        </w:rPr>
        <w:t>(OECD, 2020) citan varias alternativas para distinguir qué propuestas regulatorias deben pasar por un cierto nivel de análisis, el método más común utilizado entre miembros de la OCDE es un umbral que se expresa tanto en términos cuantitativos como cualitativos, sólo un miembro de la OCDE que utiliza una prueba de umbral únicamente cuantitativa.</w:t>
      </w:r>
    </w:p>
    <w:p w14:paraId="744FDC7D" w14:textId="77777777" w:rsidR="00312992" w:rsidRPr="00A11342" w:rsidRDefault="00312992" w:rsidP="00312992">
      <w:pPr>
        <w:adjustRightInd w:val="0"/>
        <w:jc w:val="both"/>
        <w:rPr>
          <w:rStyle w:val="hgkelc"/>
          <w:rFonts w:cs="Arial"/>
        </w:rPr>
      </w:pPr>
    </w:p>
    <w:p w14:paraId="36CA9E2C" w14:textId="77777777" w:rsidR="00312992" w:rsidRPr="00A11342" w:rsidRDefault="00312992" w:rsidP="00312992">
      <w:pPr>
        <w:adjustRightInd w:val="0"/>
        <w:jc w:val="both"/>
        <w:rPr>
          <w:rStyle w:val="hgkelc"/>
          <w:rFonts w:cs="Arial"/>
        </w:rPr>
      </w:pPr>
      <w:r w:rsidRPr="00A11342">
        <w:rPr>
          <w:rStyle w:val="hgkelc"/>
          <w:rFonts w:cs="Arial"/>
        </w:rPr>
        <w:t xml:space="preserve">En relación con dichos principios, su utilización sistemática constituye una herramienta fundamental para garantizar una mayor calidad de intervención gubernamental. </w:t>
      </w:r>
    </w:p>
    <w:p w14:paraId="1622D414" w14:textId="77777777" w:rsidR="00312992" w:rsidRPr="00A11342" w:rsidRDefault="00312992" w:rsidP="00312992">
      <w:pPr>
        <w:adjustRightInd w:val="0"/>
        <w:jc w:val="both"/>
        <w:rPr>
          <w:rStyle w:val="hgkelc"/>
          <w:rFonts w:cs="Arial"/>
        </w:rPr>
      </w:pPr>
    </w:p>
    <w:p w14:paraId="512ED1CA" w14:textId="77777777" w:rsidR="00312992" w:rsidRPr="00A11342" w:rsidRDefault="00312992" w:rsidP="00312992">
      <w:pPr>
        <w:adjustRightInd w:val="0"/>
        <w:jc w:val="both"/>
        <w:rPr>
          <w:rFonts w:cs="Arial"/>
        </w:rPr>
      </w:pPr>
      <w:r w:rsidRPr="00A11342">
        <w:rPr>
          <w:rFonts w:cs="Arial"/>
        </w:rPr>
        <w:t xml:space="preserve">Los Principios tienen por objeto reunir y aprovechar las publicaciones de la OCDE sobre la </w:t>
      </w:r>
      <w:r>
        <w:rPr>
          <w:rFonts w:cs="Arial"/>
        </w:rPr>
        <w:t>A</w:t>
      </w:r>
      <w:r w:rsidRPr="00A11342">
        <w:rPr>
          <w:rFonts w:cs="Arial"/>
        </w:rPr>
        <w:t xml:space="preserve">IR, en una herramienta resumida para proporcionar a los encargados de la toma de decisiones, los encargados de la formulación de políticas, los funcionarios públicos y otros profesionales del sector público a nivel internacional, un instrumento práctico para diseñar e implementar mejor sus sistemas y estrategias de </w:t>
      </w:r>
      <w:r>
        <w:rPr>
          <w:rFonts w:cs="Arial"/>
        </w:rPr>
        <w:t>A</w:t>
      </w:r>
      <w:r w:rsidRPr="00A11342">
        <w:rPr>
          <w:rFonts w:cs="Arial"/>
        </w:rPr>
        <w:t>IR.</w:t>
      </w:r>
    </w:p>
    <w:p w14:paraId="0C331A03" w14:textId="77777777" w:rsidR="00312992" w:rsidRPr="00A11342" w:rsidRDefault="00312992" w:rsidP="00312992">
      <w:pPr>
        <w:adjustRightInd w:val="0"/>
        <w:jc w:val="both"/>
        <w:rPr>
          <w:rFonts w:cs="Arial"/>
        </w:rPr>
      </w:pPr>
    </w:p>
    <w:p w14:paraId="1F79A096" w14:textId="77777777" w:rsidR="00312992" w:rsidRPr="00A11342" w:rsidRDefault="00312992" w:rsidP="00312992">
      <w:pPr>
        <w:adjustRightInd w:val="0"/>
        <w:jc w:val="both"/>
        <w:rPr>
          <w:rFonts w:cs="Arial"/>
        </w:rPr>
      </w:pPr>
      <w:r w:rsidRPr="00A11342">
        <w:rPr>
          <w:rFonts w:cs="Arial"/>
        </w:rPr>
        <w:t xml:space="preserve">El objetivo de los Principios no es reemplazar la Recomendación de 2012, sobre gobernanza regulatoria y de políticas, sino más bien complementar y apoyar la implementación de dicha Recomendación brindando una orientación práctica y específica. </w:t>
      </w:r>
    </w:p>
    <w:p w14:paraId="18125683" w14:textId="77777777" w:rsidR="00312992" w:rsidRPr="00A11342" w:rsidRDefault="00312992" w:rsidP="00312992">
      <w:pPr>
        <w:adjustRightInd w:val="0"/>
        <w:jc w:val="both"/>
        <w:rPr>
          <w:rFonts w:cs="Arial"/>
        </w:rPr>
      </w:pPr>
    </w:p>
    <w:p w14:paraId="128DA607" w14:textId="77777777" w:rsidR="00312992" w:rsidRPr="00A11342" w:rsidRDefault="00312992" w:rsidP="00312992">
      <w:pPr>
        <w:adjustRightInd w:val="0"/>
        <w:jc w:val="both"/>
        <w:rPr>
          <w:rFonts w:cs="Arial"/>
        </w:rPr>
      </w:pPr>
      <w:r w:rsidRPr="00A11342">
        <w:rPr>
          <w:rFonts w:cs="Arial"/>
        </w:rPr>
        <w:t xml:space="preserve">Los Principios de mejores prácticas para el análisis del impacto regulatorio, refieren a aspectos tales como: </w:t>
      </w:r>
    </w:p>
    <w:p w14:paraId="5F270420" w14:textId="77777777" w:rsidR="00312992" w:rsidRPr="00BC75D9" w:rsidRDefault="00312992" w:rsidP="00312992">
      <w:pPr>
        <w:adjustRightInd w:val="0"/>
        <w:jc w:val="both"/>
        <w:rPr>
          <w:rFonts w:cs="Arial"/>
          <w:szCs w:val="24"/>
        </w:rPr>
      </w:pPr>
    </w:p>
    <w:p w14:paraId="76D6388E" w14:textId="77777777" w:rsidR="00312992" w:rsidRPr="00BC75D9" w:rsidRDefault="00312992" w:rsidP="00312992">
      <w:pPr>
        <w:pStyle w:val="Prrafodelista"/>
        <w:numPr>
          <w:ilvl w:val="0"/>
          <w:numId w:val="20"/>
        </w:numPr>
        <w:autoSpaceDE w:val="0"/>
        <w:autoSpaceDN w:val="0"/>
        <w:adjustRightInd w:val="0"/>
        <w:spacing w:after="0" w:line="240" w:lineRule="auto"/>
        <w:ind w:left="426"/>
        <w:jc w:val="both"/>
        <w:rPr>
          <w:rFonts w:ascii="Arial" w:hAnsi="Arial" w:cs="Arial"/>
          <w:sz w:val="24"/>
          <w:szCs w:val="24"/>
        </w:rPr>
      </w:pPr>
      <w:r w:rsidRPr="00BC75D9">
        <w:rPr>
          <w:rFonts w:ascii="Arial" w:hAnsi="Arial" w:cs="Arial"/>
          <w:b/>
          <w:sz w:val="24"/>
          <w:szCs w:val="24"/>
        </w:rPr>
        <w:t>Compromiso y aceptación:</w:t>
      </w:r>
      <w:r w:rsidRPr="00BC75D9">
        <w:rPr>
          <w:rFonts w:ascii="Arial" w:hAnsi="Arial" w:cs="Arial"/>
          <w:sz w:val="24"/>
          <w:szCs w:val="24"/>
        </w:rPr>
        <w:t xml:space="preserve"> Debe existir un compromiso por parte de los gobiernos que garantice que el AIR se implementará efectivamente.</w:t>
      </w:r>
    </w:p>
    <w:p w14:paraId="1344A63C" w14:textId="77777777" w:rsidR="00312992" w:rsidRPr="00BC75D9" w:rsidRDefault="00312992" w:rsidP="00312992">
      <w:pPr>
        <w:pStyle w:val="Prrafodelista"/>
        <w:adjustRightInd w:val="0"/>
        <w:ind w:left="426"/>
        <w:rPr>
          <w:rFonts w:ascii="Arial" w:hAnsi="Arial" w:cs="Arial"/>
          <w:sz w:val="24"/>
          <w:szCs w:val="24"/>
        </w:rPr>
      </w:pPr>
    </w:p>
    <w:p w14:paraId="4BAA0F02" w14:textId="77777777" w:rsidR="00312992" w:rsidRPr="00BC75D9" w:rsidRDefault="00312992" w:rsidP="00312992">
      <w:pPr>
        <w:pStyle w:val="Prrafodelista"/>
        <w:numPr>
          <w:ilvl w:val="0"/>
          <w:numId w:val="20"/>
        </w:numPr>
        <w:autoSpaceDE w:val="0"/>
        <w:autoSpaceDN w:val="0"/>
        <w:adjustRightInd w:val="0"/>
        <w:spacing w:after="0" w:line="240" w:lineRule="auto"/>
        <w:ind w:left="426" w:hanging="426"/>
        <w:jc w:val="both"/>
        <w:rPr>
          <w:rFonts w:ascii="Arial" w:hAnsi="Arial" w:cs="Arial"/>
          <w:sz w:val="24"/>
          <w:szCs w:val="24"/>
        </w:rPr>
      </w:pPr>
      <w:r w:rsidRPr="00BC75D9">
        <w:rPr>
          <w:rFonts w:ascii="Arial" w:hAnsi="Arial" w:cs="Arial"/>
          <w:b/>
          <w:sz w:val="24"/>
          <w:szCs w:val="24"/>
        </w:rPr>
        <w:t>Gobernanza:</w:t>
      </w:r>
      <w:r w:rsidRPr="00BC75D9">
        <w:rPr>
          <w:rFonts w:ascii="Arial" w:hAnsi="Arial" w:cs="Arial"/>
          <w:sz w:val="24"/>
          <w:szCs w:val="24"/>
        </w:rPr>
        <w:t xml:space="preserve"> El AIR debe estar plenamente integrada con otras herramientas de gestión regulatoria e implementarse en el contexto del sistema jurídico, administrativo y a la cultura del país.</w:t>
      </w:r>
    </w:p>
    <w:p w14:paraId="560E96F1" w14:textId="77777777" w:rsidR="00312992" w:rsidRPr="00BC75D9" w:rsidRDefault="00312992" w:rsidP="00312992">
      <w:pPr>
        <w:pStyle w:val="Prrafodelista"/>
        <w:adjustRightInd w:val="0"/>
        <w:ind w:left="426"/>
        <w:rPr>
          <w:rFonts w:ascii="Arial" w:hAnsi="Arial" w:cs="Arial"/>
          <w:sz w:val="24"/>
          <w:szCs w:val="24"/>
        </w:rPr>
      </w:pPr>
    </w:p>
    <w:p w14:paraId="08C185E1" w14:textId="77777777" w:rsidR="00312992" w:rsidRPr="00BC75D9" w:rsidRDefault="00312992" w:rsidP="00312992">
      <w:pPr>
        <w:pStyle w:val="Prrafodelista"/>
        <w:numPr>
          <w:ilvl w:val="0"/>
          <w:numId w:val="20"/>
        </w:numPr>
        <w:autoSpaceDE w:val="0"/>
        <w:autoSpaceDN w:val="0"/>
        <w:adjustRightInd w:val="0"/>
        <w:spacing w:after="0" w:line="240" w:lineRule="auto"/>
        <w:ind w:left="426" w:hanging="426"/>
        <w:jc w:val="both"/>
        <w:rPr>
          <w:rFonts w:ascii="Arial" w:hAnsi="Arial" w:cs="Arial"/>
          <w:sz w:val="24"/>
          <w:szCs w:val="24"/>
        </w:rPr>
      </w:pPr>
      <w:r w:rsidRPr="00BC75D9">
        <w:rPr>
          <w:rFonts w:ascii="Arial" w:hAnsi="Arial" w:cs="Arial"/>
          <w:b/>
          <w:sz w:val="24"/>
          <w:szCs w:val="24"/>
        </w:rPr>
        <w:t>Fortalecimiento de la capacidad de la administración:</w:t>
      </w:r>
      <w:r w:rsidRPr="00BC75D9">
        <w:rPr>
          <w:rFonts w:ascii="Arial" w:hAnsi="Arial" w:cs="Arial"/>
          <w:sz w:val="24"/>
          <w:szCs w:val="24"/>
        </w:rPr>
        <w:t xml:space="preserve"> Es importante incluir el AIR en los procesos existentes de formulación de políticas, toma de decisiones y rendición de cuentas.</w:t>
      </w:r>
    </w:p>
    <w:p w14:paraId="0339B28D" w14:textId="77777777" w:rsidR="00312992" w:rsidRPr="00BC75D9" w:rsidRDefault="00312992" w:rsidP="00312992">
      <w:pPr>
        <w:pStyle w:val="Prrafodelista"/>
        <w:adjustRightInd w:val="0"/>
        <w:ind w:left="426"/>
        <w:rPr>
          <w:rFonts w:ascii="Arial" w:hAnsi="Arial" w:cs="Arial"/>
          <w:sz w:val="24"/>
          <w:szCs w:val="24"/>
        </w:rPr>
      </w:pPr>
    </w:p>
    <w:p w14:paraId="57838C56" w14:textId="77777777" w:rsidR="00312992" w:rsidRPr="00BC75D9" w:rsidRDefault="00312992" w:rsidP="00312992">
      <w:pPr>
        <w:pStyle w:val="Prrafodelista"/>
        <w:numPr>
          <w:ilvl w:val="0"/>
          <w:numId w:val="20"/>
        </w:numPr>
        <w:autoSpaceDE w:val="0"/>
        <w:autoSpaceDN w:val="0"/>
        <w:adjustRightInd w:val="0"/>
        <w:spacing w:after="0" w:line="240" w:lineRule="auto"/>
        <w:ind w:left="426" w:hanging="426"/>
        <w:jc w:val="both"/>
        <w:rPr>
          <w:rFonts w:ascii="Arial" w:hAnsi="Arial" w:cs="Arial"/>
          <w:sz w:val="24"/>
          <w:szCs w:val="24"/>
        </w:rPr>
      </w:pPr>
      <w:r w:rsidRPr="00BC75D9">
        <w:rPr>
          <w:rFonts w:ascii="Arial" w:hAnsi="Arial" w:cs="Arial"/>
          <w:b/>
          <w:sz w:val="24"/>
          <w:szCs w:val="24"/>
        </w:rPr>
        <w:t>Metodología:</w:t>
      </w:r>
      <w:r w:rsidRPr="00BC75D9">
        <w:rPr>
          <w:rFonts w:ascii="Arial" w:hAnsi="Arial" w:cs="Arial"/>
          <w:sz w:val="24"/>
          <w:szCs w:val="24"/>
        </w:rPr>
        <w:t xml:space="preserve"> Debe considerar todas las alternativas posibles, incluidas las soluciones no regulatorias, debiendo identificar todos los costos directos e indirectos importantes, así como los beneficios relevantes. La participación de las partes interesadas se incorporará sistemáticamente, siendo esencial que los resultados del AIR sean comunicados.</w:t>
      </w:r>
    </w:p>
    <w:p w14:paraId="6CAB9329" w14:textId="77777777" w:rsidR="00312992" w:rsidRPr="00BC75D9" w:rsidRDefault="00312992" w:rsidP="00312992">
      <w:pPr>
        <w:pStyle w:val="Prrafodelista"/>
        <w:adjustRightInd w:val="0"/>
        <w:ind w:left="426" w:hanging="426"/>
        <w:rPr>
          <w:rFonts w:ascii="Arial" w:hAnsi="Arial" w:cs="Arial"/>
          <w:sz w:val="24"/>
          <w:szCs w:val="24"/>
        </w:rPr>
      </w:pPr>
    </w:p>
    <w:p w14:paraId="0D398D86" w14:textId="77777777" w:rsidR="00312992" w:rsidRPr="00BC75D9" w:rsidRDefault="00312992" w:rsidP="00312992">
      <w:pPr>
        <w:pStyle w:val="Prrafodelista"/>
        <w:numPr>
          <w:ilvl w:val="0"/>
          <w:numId w:val="20"/>
        </w:numPr>
        <w:autoSpaceDE w:val="0"/>
        <w:autoSpaceDN w:val="0"/>
        <w:adjustRightInd w:val="0"/>
        <w:spacing w:after="0" w:line="240" w:lineRule="auto"/>
        <w:ind w:left="426" w:hanging="426"/>
        <w:jc w:val="both"/>
        <w:rPr>
          <w:rFonts w:ascii="Arial" w:hAnsi="Arial" w:cs="Arial"/>
          <w:sz w:val="24"/>
          <w:szCs w:val="24"/>
        </w:rPr>
      </w:pPr>
      <w:r w:rsidRPr="00BC75D9">
        <w:rPr>
          <w:rFonts w:ascii="Arial" w:hAnsi="Arial" w:cs="Arial"/>
          <w:b/>
          <w:sz w:val="24"/>
          <w:szCs w:val="24"/>
        </w:rPr>
        <w:t>Seguimiento, evaluación y mejora continua:</w:t>
      </w:r>
      <w:r w:rsidRPr="00BC75D9">
        <w:rPr>
          <w:rFonts w:ascii="Arial" w:hAnsi="Arial" w:cs="Arial"/>
          <w:sz w:val="24"/>
          <w:szCs w:val="24"/>
        </w:rPr>
        <w:t xml:space="preserve"> El alcance del análisis debería ampliarse para cubrir el ciclo de políticas, siendo importante validar los impactos reales de las regulaciones adoptadas después de su implementación. </w:t>
      </w:r>
    </w:p>
    <w:p w14:paraId="67589D2A" w14:textId="77777777" w:rsidR="00312992" w:rsidRPr="00BC75D9" w:rsidRDefault="00312992" w:rsidP="00BC75D9">
      <w:pPr>
        <w:rPr>
          <w:rFonts w:cs="Arial"/>
        </w:rPr>
      </w:pPr>
    </w:p>
    <w:p w14:paraId="4D9247DF" w14:textId="7E260064" w:rsidR="00312992" w:rsidRPr="00BC75D9" w:rsidRDefault="00BC75D9" w:rsidP="00312992">
      <w:pPr>
        <w:pStyle w:val="Ttulo3"/>
        <w:numPr>
          <w:ilvl w:val="0"/>
          <w:numId w:val="22"/>
        </w:numPr>
        <w:ind w:left="360"/>
        <w:rPr>
          <w:rFonts w:eastAsia="Arial MT" w:cs="Arial"/>
          <w:color w:val="00B0F0"/>
          <w:lang w:val="es-ES"/>
        </w:rPr>
      </w:pPr>
      <w:r>
        <w:rPr>
          <w:rFonts w:eastAsia="Arial MT" w:cs="Arial"/>
          <w:color w:val="00B0F0"/>
          <w:lang w:val="es-ES"/>
        </w:rPr>
        <w:t>AIR</w:t>
      </w:r>
      <w:r w:rsidR="00312992" w:rsidRPr="009371CD">
        <w:rPr>
          <w:rFonts w:eastAsia="Arial MT" w:cs="Arial"/>
          <w:color w:val="00B0F0"/>
          <w:lang w:val="es-ES"/>
        </w:rPr>
        <w:t xml:space="preserve"> en la regulación financiera brasileña - implementación del análisis de impacto regulatorio en el área regulatoria del Banco Central de Brasil </w:t>
      </w:r>
    </w:p>
    <w:p w14:paraId="7FDC1A43" w14:textId="77777777" w:rsidR="00312992" w:rsidRPr="009371CD" w:rsidRDefault="00312992" w:rsidP="00312992">
      <w:pPr>
        <w:widowControl w:val="0"/>
        <w:jc w:val="both"/>
        <w:rPr>
          <w:rFonts w:cs="Arial"/>
          <w:lang w:val="es-PY"/>
        </w:rPr>
      </w:pPr>
    </w:p>
    <w:p w14:paraId="39E87DE4" w14:textId="77777777" w:rsidR="00312992" w:rsidRPr="001C1676" w:rsidRDefault="00312992" w:rsidP="00312992">
      <w:pPr>
        <w:jc w:val="both"/>
        <w:rPr>
          <w:rFonts w:cs="Arial"/>
          <w:b/>
          <w:bCs/>
          <w:lang w:val="es-PY"/>
        </w:rPr>
      </w:pPr>
      <w:r w:rsidRPr="009371CD">
        <w:rPr>
          <w:rFonts w:cs="Arial"/>
          <w:b/>
          <w:bCs/>
          <w:lang w:val="es-PY"/>
        </w:rPr>
        <w:t xml:space="preserve">Marco </w:t>
      </w:r>
      <w:r>
        <w:rPr>
          <w:rFonts w:cs="Arial"/>
          <w:b/>
          <w:bCs/>
          <w:lang w:val="es-PY"/>
        </w:rPr>
        <w:t>Legal</w:t>
      </w:r>
      <w:r w:rsidRPr="009371CD">
        <w:rPr>
          <w:rFonts w:cs="Arial"/>
          <w:b/>
          <w:bCs/>
          <w:lang w:val="es-PY"/>
        </w:rPr>
        <w:t xml:space="preserve"> - regulación del análisis de impacto </w:t>
      </w:r>
      <w:r>
        <w:rPr>
          <w:rFonts w:cs="Arial"/>
          <w:b/>
          <w:bCs/>
          <w:lang w:val="es-PY"/>
        </w:rPr>
        <w:t>regulatorio</w:t>
      </w:r>
      <w:r w:rsidRPr="009371CD">
        <w:rPr>
          <w:rFonts w:cs="Arial"/>
          <w:b/>
          <w:bCs/>
          <w:lang w:val="es-PY"/>
        </w:rPr>
        <w:t xml:space="preserve"> (Decreto nº 10.411 de 30 de junio de 2020)</w:t>
      </w:r>
      <w:r>
        <w:rPr>
          <w:rFonts w:cs="Arial"/>
          <w:b/>
          <w:bCs/>
          <w:lang w:val="es-PY"/>
        </w:rPr>
        <w:t>.</w:t>
      </w:r>
      <w:r w:rsidRPr="009371CD">
        <w:rPr>
          <w:rFonts w:cs="Arial"/>
          <w:b/>
          <w:bCs/>
          <w:lang w:val="es-PY"/>
        </w:rPr>
        <w:t xml:space="preserve"> </w:t>
      </w:r>
    </w:p>
    <w:p w14:paraId="27326FEB" w14:textId="77777777" w:rsidR="00312992" w:rsidRPr="009371CD" w:rsidRDefault="00312992" w:rsidP="00312992">
      <w:pPr>
        <w:widowControl w:val="0"/>
        <w:rPr>
          <w:rFonts w:cs="Arial"/>
          <w:lang w:val="es-PY"/>
        </w:rPr>
      </w:pPr>
    </w:p>
    <w:p w14:paraId="54FC46EA" w14:textId="77777777" w:rsidR="00312992" w:rsidRPr="009371CD" w:rsidRDefault="00312992" w:rsidP="00312992">
      <w:pPr>
        <w:widowControl w:val="0"/>
        <w:jc w:val="both"/>
        <w:rPr>
          <w:rFonts w:cs="Arial"/>
          <w:lang w:val="es-PY"/>
        </w:rPr>
      </w:pPr>
      <w:r w:rsidRPr="009371CD">
        <w:rPr>
          <w:rFonts w:cs="Arial"/>
          <w:lang w:val="es-PY"/>
        </w:rPr>
        <w:t xml:space="preserve">El </w:t>
      </w:r>
      <w:r>
        <w:rPr>
          <w:rFonts w:cs="Arial"/>
          <w:lang w:val="es-PY"/>
        </w:rPr>
        <w:t>AIR</w:t>
      </w:r>
      <w:r w:rsidRPr="009371CD">
        <w:rPr>
          <w:rFonts w:cs="Arial"/>
          <w:lang w:val="es-PY"/>
        </w:rPr>
        <w:t xml:space="preserve"> fue objeto de dos disposiciones legales establecidas en 2019, una que trata de las agencias reguladoras</w:t>
      </w:r>
      <w:r>
        <w:rPr>
          <w:rStyle w:val="Refdenotaalpie"/>
          <w:rFonts w:cs="Arial"/>
          <w:lang w:val="es-PY"/>
        </w:rPr>
        <w:footnoteReference w:id="3"/>
      </w:r>
      <w:r w:rsidRPr="009371CD">
        <w:rPr>
          <w:rFonts w:cs="Arial"/>
          <w:lang w:val="es-PY"/>
        </w:rPr>
        <w:t xml:space="preserve"> y otra que prevé la Declaración de los Derechos de Libertad Económica</w:t>
      </w:r>
      <w:r>
        <w:rPr>
          <w:rStyle w:val="Refdenotaalpie"/>
          <w:rFonts w:cs="Arial"/>
          <w:lang w:val="es-PY"/>
        </w:rPr>
        <w:footnoteReference w:id="4"/>
      </w:r>
      <w:r w:rsidRPr="009371CD">
        <w:rPr>
          <w:rFonts w:cs="Arial"/>
          <w:lang w:val="es-PY"/>
        </w:rPr>
        <w:t xml:space="preserve">. Los artículos de estas leyes que se refieren a </w:t>
      </w:r>
      <w:r>
        <w:rPr>
          <w:rFonts w:cs="Arial"/>
          <w:lang w:val="es-PY"/>
        </w:rPr>
        <w:t>AIR</w:t>
      </w:r>
      <w:r w:rsidRPr="009371CD">
        <w:rPr>
          <w:rFonts w:cs="Arial"/>
          <w:lang w:val="es-PY"/>
        </w:rPr>
        <w:t xml:space="preserve"> fueron regulados por el Decreto N º 10.411 de 30 de junio de 2020 (Decreto </w:t>
      </w:r>
      <w:r>
        <w:rPr>
          <w:rFonts w:cs="Arial"/>
          <w:lang w:val="es-PY"/>
        </w:rPr>
        <w:t>AIR</w:t>
      </w:r>
      <w:r w:rsidRPr="009371CD">
        <w:rPr>
          <w:rFonts w:cs="Arial"/>
          <w:lang w:val="es-PY"/>
        </w:rPr>
        <w:t>)</w:t>
      </w:r>
      <w:r>
        <w:rPr>
          <w:rStyle w:val="Refdenotaalpie"/>
          <w:rFonts w:cs="Arial"/>
          <w:lang w:val="es-PY"/>
        </w:rPr>
        <w:footnoteReference w:id="5"/>
      </w:r>
      <w:r w:rsidRPr="009371CD">
        <w:rPr>
          <w:rFonts w:cs="Arial"/>
          <w:lang w:val="es-PY"/>
        </w:rPr>
        <w:t xml:space="preserve">. </w:t>
      </w:r>
    </w:p>
    <w:p w14:paraId="6D394FDA" w14:textId="77777777" w:rsidR="00312992" w:rsidRDefault="00312992" w:rsidP="00312992">
      <w:pPr>
        <w:jc w:val="both"/>
        <w:rPr>
          <w:rFonts w:cs="Arial"/>
          <w:lang w:val="es-PY"/>
        </w:rPr>
      </w:pPr>
    </w:p>
    <w:p w14:paraId="4AB95E06" w14:textId="77777777" w:rsidR="00312992" w:rsidRDefault="00312992" w:rsidP="00312992">
      <w:pPr>
        <w:jc w:val="both"/>
        <w:rPr>
          <w:rFonts w:cs="Arial"/>
          <w:lang w:val="es-PY"/>
        </w:rPr>
      </w:pPr>
      <w:r w:rsidRPr="009371CD">
        <w:rPr>
          <w:rFonts w:cs="Arial"/>
          <w:lang w:val="es-PY"/>
        </w:rPr>
        <w:t>El Decreto AIR estableció la obligatoriedad de analizar el impacto regulatorio en la emisión de actos normativos de interés económico emitidos por entidades públicas. Se estableció que las entidades competentes, entre ellas el Banco Central do Brasil (BCB), debe</w:t>
      </w:r>
      <w:r>
        <w:rPr>
          <w:rFonts w:cs="Arial"/>
          <w:lang w:val="es-PY"/>
        </w:rPr>
        <w:t>n</w:t>
      </w:r>
      <w:r w:rsidRPr="009371CD">
        <w:rPr>
          <w:rFonts w:cs="Arial"/>
          <w:lang w:val="es-PY"/>
        </w:rPr>
        <w:t xml:space="preserve"> evaluar la obligación, conveniencia y oportunidad de dar solución a un problema regulatorio identificado.</w:t>
      </w:r>
    </w:p>
    <w:p w14:paraId="4458E186" w14:textId="77777777" w:rsidR="00312992" w:rsidRPr="009371CD" w:rsidRDefault="00312992" w:rsidP="00312992">
      <w:pPr>
        <w:widowControl w:val="0"/>
        <w:jc w:val="both"/>
        <w:rPr>
          <w:rFonts w:cs="Arial"/>
          <w:lang w:val="es-PY"/>
        </w:rPr>
      </w:pPr>
      <w:r w:rsidRPr="009371CD">
        <w:rPr>
          <w:rFonts w:cs="Arial"/>
          <w:lang w:val="es-PY"/>
        </w:rPr>
        <w:t xml:space="preserve"> </w:t>
      </w:r>
    </w:p>
    <w:p w14:paraId="20D0A740" w14:textId="77777777" w:rsidR="00312992" w:rsidRDefault="00312992" w:rsidP="00312992">
      <w:pPr>
        <w:jc w:val="both"/>
        <w:rPr>
          <w:rFonts w:cs="Arial"/>
          <w:lang w:val="es-PY"/>
        </w:rPr>
      </w:pPr>
      <w:r w:rsidRPr="009371CD">
        <w:rPr>
          <w:rFonts w:cs="Arial"/>
          <w:lang w:val="es-PY"/>
        </w:rPr>
        <w:t xml:space="preserve">El proceso de </w:t>
      </w:r>
      <w:r>
        <w:rPr>
          <w:rFonts w:cs="Arial"/>
          <w:lang w:val="es-PY"/>
        </w:rPr>
        <w:t>AIR</w:t>
      </w:r>
      <w:r w:rsidRPr="009371CD">
        <w:rPr>
          <w:rFonts w:cs="Arial"/>
          <w:lang w:val="es-PY"/>
        </w:rPr>
        <w:t xml:space="preserve"> debe llevarse a cabo siguiendo una metodología específica</w:t>
      </w:r>
      <w:r>
        <w:rPr>
          <w:rStyle w:val="Refdenotaalpie"/>
          <w:rFonts w:cs="Arial"/>
          <w:lang w:val="es-PY"/>
        </w:rPr>
        <w:footnoteReference w:id="6"/>
      </w:r>
      <w:r w:rsidRPr="009371CD">
        <w:rPr>
          <w:rFonts w:cs="Arial"/>
          <w:lang w:val="es-PY"/>
        </w:rPr>
        <w:t xml:space="preserve"> y sus resultados deben presentarse en un informe que contenga la identificación del problema regulatorio y de los agentes económicos afectados, la definición de los objetivos a alcanzar, una descripción de las soluciones alternativas (regulatorias o no) y una explicación de los impactos. El informe debe incluir también la estrategia de aplicación de la propuesta, entre otros puntos. </w:t>
      </w:r>
    </w:p>
    <w:p w14:paraId="7FAD065B" w14:textId="77777777" w:rsidR="00312992" w:rsidRPr="009371CD" w:rsidRDefault="00312992" w:rsidP="00312992">
      <w:pPr>
        <w:widowControl w:val="0"/>
        <w:jc w:val="both"/>
        <w:rPr>
          <w:rFonts w:cs="Arial"/>
          <w:lang w:val="es-PY"/>
        </w:rPr>
      </w:pPr>
    </w:p>
    <w:p w14:paraId="2BD9D589" w14:textId="77777777" w:rsidR="00312992" w:rsidRDefault="00312992" w:rsidP="00312992">
      <w:pPr>
        <w:jc w:val="both"/>
        <w:rPr>
          <w:rFonts w:cs="Arial"/>
          <w:lang w:val="es-PY"/>
        </w:rPr>
      </w:pPr>
      <w:r w:rsidRPr="009371CD">
        <w:rPr>
          <w:rFonts w:cs="Arial"/>
          <w:lang w:val="es-PY"/>
        </w:rPr>
        <w:t xml:space="preserve">El informe de la </w:t>
      </w:r>
      <w:r>
        <w:rPr>
          <w:rFonts w:cs="Arial"/>
          <w:lang w:val="es-PY"/>
        </w:rPr>
        <w:t>AIR</w:t>
      </w:r>
      <w:r w:rsidRPr="009371CD">
        <w:rPr>
          <w:rFonts w:cs="Arial"/>
          <w:lang w:val="es-PY"/>
        </w:rPr>
        <w:t xml:space="preserve"> puede ser objeto de participación social, como la consulta pública (CP), que tiene lugar antes de que se tome la decisión sobre la mejor opción para abordar el problema regulatorio y antes de que se elabore el proyecto de acto normativo. </w:t>
      </w:r>
    </w:p>
    <w:p w14:paraId="5EE1A1A3" w14:textId="77777777" w:rsidR="00312992" w:rsidRPr="009371CD" w:rsidRDefault="00312992" w:rsidP="00312992">
      <w:pPr>
        <w:widowControl w:val="0"/>
        <w:jc w:val="both"/>
        <w:rPr>
          <w:rFonts w:cs="Arial"/>
          <w:lang w:val="es-PY"/>
        </w:rPr>
      </w:pPr>
    </w:p>
    <w:p w14:paraId="1102E540" w14:textId="77777777" w:rsidR="00312992" w:rsidRDefault="00312992" w:rsidP="00312992">
      <w:pPr>
        <w:jc w:val="both"/>
        <w:rPr>
          <w:rFonts w:cs="Arial"/>
          <w:lang w:val="es-PY"/>
        </w:rPr>
      </w:pPr>
      <w:r w:rsidRPr="009371CD">
        <w:rPr>
          <w:rFonts w:cs="Arial"/>
          <w:lang w:val="es-PY"/>
        </w:rPr>
        <w:t xml:space="preserve">El Decreto AIR enumera varias posibilidades de exención (art. 4), entre ellas cuando se considera que el acto normativo tiene un impacto bajo, cuando tiene por objeto preservar la liquidez, la solvencia o la salud de los mercados financieros y los sistemas de pago y cuando el acto normativo tiene por objeto mantener la convergencia con las normas internacionales. </w:t>
      </w:r>
    </w:p>
    <w:p w14:paraId="37218578" w14:textId="77777777" w:rsidR="00312992" w:rsidRPr="009371CD" w:rsidRDefault="00312992" w:rsidP="00312992">
      <w:pPr>
        <w:widowControl w:val="0"/>
        <w:jc w:val="both"/>
        <w:rPr>
          <w:rFonts w:cs="Arial"/>
          <w:lang w:val="es-PY"/>
        </w:rPr>
      </w:pPr>
    </w:p>
    <w:p w14:paraId="1C0A0F6F" w14:textId="77777777" w:rsidR="00312992" w:rsidRPr="009371CD" w:rsidRDefault="00312992" w:rsidP="00312992">
      <w:pPr>
        <w:widowControl w:val="0"/>
        <w:jc w:val="both"/>
        <w:rPr>
          <w:rFonts w:cs="Arial"/>
          <w:lang w:val="es-PY"/>
        </w:rPr>
      </w:pPr>
      <w:r w:rsidRPr="009371CD">
        <w:rPr>
          <w:rFonts w:cs="Arial"/>
          <w:lang w:val="es-PY"/>
        </w:rPr>
        <w:t>Las acciones exentas de</w:t>
      </w:r>
      <w:r>
        <w:rPr>
          <w:rFonts w:cs="Arial"/>
          <w:lang w:val="es-PY"/>
        </w:rPr>
        <w:t>l</w:t>
      </w:r>
      <w:r w:rsidRPr="009371CD">
        <w:rPr>
          <w:rFonts w:cs="Arial"/>
          <w:lang w:val="es-PY"/>
        </w:rPr>
        <w:t xml:space="preserve"> </w:t>
      </w:r>
      <w:r>
        <w:rPr>
          <w:rFonts w:cs="Arial"/>
          <w:lang w:val="es-PY"/>
        </w:rPr>
        <w:t>AIR</w:t>
      </w:r>
      <w:r w:rsidRPr="009371CD">
        <w:rPr>
          <w:rFonts w:cs="Arial"/>
          <w:lang w:val="es-PY"/>
        </w:rPr>
        <w:t xml:space="preserve"> deben someterse a</w:t>
      </w:r>
      <w:r>
        <w:rPr>
          <w:rFonts w:cs="Arial"/>
          <w:lang w:val="es-PY"/>
        </w:rPr>
        <w:t>l</w:t>
      </w:r>
      <w:r w:rsidRPr="009371CD">
        <w:rPr>
          <w:rFonts w:cs="Arial"/>
          <w:lang w:val="es-PY"/>
        </w:rPr>
        <w:t xml:space="preserve"> </w:t>
      </w:r>
      <w:r>
        <w:rPr>
          <w:rFonts w:cs="Arial"/>
          <w:lang w:val="es-PY"/>
        </w:rPr>
        <w:t>análisis</w:t>
      </w:r>
      <w:r w:rsidRPr="009371CD">
        <w:rPr>
          <w:rFonts w:cs="Arial"/>
          <w:lang w:val="es-PY"/>
        </w:rPr>
        <w:t xml:space="preserve"> de los resultados de la reglamentación (</w:t>
      </w:r>
      <w:r>
        <w:rPr>
          <w:rFonts w:cs="Arial"/>
          <w:lang w:val="es-PY"/>
        </w:rPr>
        <w:t>A</w:t>
      </w:r>
      <w:r w:rsidRPr="009371CD">
        <w:rPr>
          <w:rFonts w:cs="Arial"/>
          <w:lang w:val="es-PY"/>
        </w:rPr>
        <w:t xml:space="preserve">RR), es decir, a la verificación de los efectos resultantes de la </w:t>
      </w:r>
    </w:p>
    <w:p w14:paraId="48FEC9B3" w14:textId="77777777" w:rsidR="00312992" w:rsidRDefault="00312992" w:rsidP="00312992">
      <w:pPr>
        <w:jc w:val="both"/>
        <w:rPr>
          <w:rFonts w:cs="Arial"/>
          <w:lang w:val="es-PY"/>
        </w:rPr>
      </w:pPr>
      <w:r w:rsidRPr="009371CD">
        <w:rPr>
          <w:rFonts w:cs="Arial"/>
          <w:lang w:val="es-PY"/>
        </w:rPr>
        <w:t xml:space="preserve">promulgación de un acto normativo, teniendo en cuenta los objetivos previstos y los impactos derivados de su aplicación. </w:t>
      </w:r>
    </w:p>
    <w:p w14:paraId="718CB097" w14:textId="77777777" w:rsidR="00312992" w:rsidRPr="009371CD" w:rsidRDefault="00312992" w:rsidP="00312992">
      <w:pPr>
        <w:widowControl w:val="0"/>
        <w:jc w:val="both"/>
        <w:rPr>
          <w:rFonts w:cs="Arial"/>
          <w:lang w:val="es-PY"/>
        </w:rPr>
      </w:pPr>
    </w:p>
    <w:p w14:paraId="3D5F8585" w14:textId="77777777" w:rsidR="00312992" w:rsidRPr="001C1676" w:rsidRDefault="00312992" w:rsidP="00312992">
      <w:pPr>
        <w:jc w:val="both"/>
        <w:rPr>
          <w:rFonts w:cs="Arial"/>
          <w:b/>
          <w:bCs/>
          <w:lang w:val="es-PY"/>
        </w:rPr>
      </w:pPr>
      <w:r w:rsidRPr="009371CD">
        <w:rPr>
          <w:rFonts w:cs="Arial"/>
          <w:b/>
          <w:bCs/>
          <w:lang w:val="es-PY"/>
        </w:rPr>
        <w:t xml:space="preserve">Marco institucional - aplicación de la normativa en el Banco Central de Brasil (Proyecto Aprimora) </w:t>
      </w:r>
    </w:p>
    <w:p w14:paraId="1492121D" w14:textId="77777777" w:rsidR="00312992" w:rsidRPr="009371CD" w:rsidRDefault="00312992" w:rsidP="00312992">
      <w:pPr>
        <w:widowControl w:val="0"/>
        <w:jc w:val="both"/>
        <w:rPr>
          <w:rFonts w:cs="Arial"/>
          <w:lang w:val="es-PY"/>
        </w:rPr>
      </w:pPr>
    </w:p>
    <w:p w14:paraId="42CDB15C" w14:textId="077E69A6" w:rsidR="00312992" w:rsidRDefault="00312992" w:rsidP="00312992">
      <w:pPr>
        <w:jc w:val="both"/>
        <w:rPr>
          <w:rFonts w:cs="Arial"/>
          <w:lang w:val="es-PY"/>
        </w:rPr>
      </w:pPr>
      <w:r w:rsidRPr="009371CD">
        <w:rPr>
          <w:rFonts w:cs="Arial"/>
          <w:lang w:val="es-PY"/>
        </w:rPr>
        <w:t>El Proyecto Aprimora fue elaborado por el departamento regulatorio del BCB en 2020 para adecuar las obligaciones introducidas por el Decreto AIR a la necesidad de mejora continua del macroproceso regulatorio, con el objetivo de reducir los cost</w:t>
      </w:r>
      <w:r>
        <w:rPr>
          <w:rFonts w:cs="Arial"/>
          <w:lang w:val="es-PY"/>
        </w:rPr>
        <w:t>o</w:t>
      </w:r>
      <w:r w:rsidRPr="009371CD">
        <w:rPr>
          <w:rFonts w:cs="Arial"/>
          <w:lang w:val="es-PY"/>
        </w:rPr>
        <w:t>s de cumplimiento y aumentar la eficiencia del Sistema Financiero Nacional.</w:t>
      </w:r>
    </w:p>
    <w:p w14:paraId="6819F38E" w14:textId="77777777" w:rsidR="00312992" w:rsidRPr="009371CD" w:rsidRDefault="00312992" w:rsidP="00312992">
      <w:pPr>
        <w:widowControl w:val="0"/>
        <w:jc w:val="both"/>
        <w:rPr>
          <w:rFonts w:cs="Arial"/>
          <w:lang w:val="es-PY"/>
        </w:rPr>
      </w:pPr>
      <w:r w:rsidRPr="009371CD">
        <w:rPr>
          <w:rFonts w:cs="Arial"/>
          <w:lang w:val="es-PY"/>
        </w:rPr>
        <w:t xml:space="preserve"> </w:t>
      </w:r>
    </w:p>
    <w:p w14:paraId="46A18652" w14:textId="77777777" w:rsidR="00312992" w:rsidRPr="00511E91" w:rsidRDefault="00312992" w:rsidP="00312992">
      <w:pPr>
        <w:jc w:val="both"/>
        <w:rPr>
          <w:rFonts w:cs="Arial"/>
          <w:lang w:val="es-PY"/>
        </w:rPr>
      </w:pPr>
      <w:r w:rsidRPr="009371CD">
        <w:rPr>
          <w:rFonts w:cs="Arial"/>
          <w:lang w:val="es-PY"/>
        </w:rPr>
        <w:t xml:space="preserve">Los objetivos finales de Aprimora eran aumentar la eficacia de la regulación financiera y reforzar la solidez y eficiencia del Sistema Financiero mediante la creación de capacidad para llevar a cabo </w:t>
      </w:r>
      <w:r>
        <w:rPr>
          <w:rFonts w:cs="Arial"/>
          <w:lang w:val="es-PY"/>
        </w:rPr>
        <w:t>AIR</w:t>
      </w:r>
      <w:r w:rsidRPr="009371CD">
        <w:rPr>
          <w:rFonts w:cs="Arial"/>
          <w:lang w:val="es-PY"/>
        </w:rPr>
        <w:t xml:space="preserve"> y ARR</w:t>
      </w:r>
      <w:r>
        <w:rPr>
          <w:rFonts w:cs="Arial"/>
          <w:lang w:val="es-PY"/>
        </w:rPr>
        <w:t xml:space="preserve">, </w:t>
      </w:r>
      <w:r w:rsidRPr="00511E91">
        <w:rPr>
          <w:rFonts w:cs="Arial"/>
          <w:lang w:val="es-PY"/>
        </w:rPr>
        <w:t>proveyendo</w:t>
      </w:r>
      <w:r w:rsidRPr="009371CD">
        <w:rPr>
          <w:rFonts w:cs="Arial"/>
          <w:lang w:val="es-PY"/>
        </w:rPr>
        <w:t xml:space="preserve">: </w:t>
      </w:r>
    </w:p>
    <w:p w14:paraId="3DAADBAB" w14:textId="77777777" w:rsidR="00312992" w:rsidRPr="009371CD" w:rsidRDefault="00312992" w:rsidP="00312992">
      <w:pPr>
        <w:widowControl w:val="0"/>
        <w:jc w:val="both"/>
        <w:rPr>
          <w:rFonts w:cs="Arial"/>
          <w:lang w:val="es-PY"/>
        </w:rPr>
      </w:pPr>
    </w:p>
    <w:p w14:paraId="5EBA0DD4" w14:textId="77777777" w:rsidR="00312992" w:rsidRPr="009371CD" w:rsidRDefault="00312992" w:rsidP="00312992">
      <w:pPr>
        <w:widowControl w:val="0"/>
        <w:jc w:val="both"/>
        <w:rPr>
          <w:rFonts w:cs="Arial"/>
          <w:lang w:val="es-PY"/>
        </w:rPr>
      </w:pPr>
      <w:r w:rsidRPr="009371CD">
        <w:rPr>
          <w:rFonts w:cs="Arial"/>
          <w:lang w:val="es-PY"/>
        </w:rPr>
        <w:t xml:space="preserve">i. </w:t>
      </w:r>
      <w:r>
        <w:rPr>
          <w:rFonts w:cs="Arial"/>
          <w:lang w:val="es-PY"/>
        </w:rPr>
        <w:t>incremento de</w:t>
      </w:r>
      <w:r w:rsidRPr="009371CD">
        <w:rPr>
          <w:rFonts w:cs="Arial"/>
          <w:lang w:val="es-PY"/>
        </w:rPr>
        <w:t xml:space="preserve"> la asertividad y la seguridad jurídica de la política reguladora; </w:t>
      </w:r>
    </w:p>
    <w:p w14:paraId="22B16EA3" w14:textId="77777777" w:rsidR="00312992" w:rsidRPr="009371CD" w:rsidRDefault="00312992" w:rsidP="00312992">
      <w:pPr>
        <w:widowControl w:val="0"/>
        <w:jc w:val="both"/>
        <w:rPr>
          <w:rFonts w:cs="Arial"/>
          <w:lang w:val="es-PY"/>
        </w:rPr>
      </w:pPr>
      <w:r w:rsidRPr="009371CD">
        <w:rPr>
          <w:rFonts w:cs="Arial"/>
          <w:lang w:val="es-PY"/>
        </w:rPr>
        <w:t>ii. reduc</w:t>
      </w:r>
      <w:r>
        <w:rPr>
          <w:rFonts w:cs="Arial"/>
          <w:lang w:val="es-PY"/>
        </w:rPr>
        <w:t>ción</w:t>
      </w:r>
      <w:r w:rsidRPr="009371CD">
        <w:rPr>
          <w:rFonts w:cs="Arial"/>
          <w:lang w:val="es-PY"/>
        </w:rPr>
        <w:t xml:space="preserve"> </w:t>
      </w:r>
      <w:r>
        <w:rPr>
          <w:rFonts w:cs="Arial"/>
          <w:lang w:val="es-PY"/>
        </w:rPr>
        <w:t xml:space="preserve">de </w:t>
      </w:r>
      <w:r w:rsidRPr="009371CD">
        <w:rPr>
          <w:rFonts w:cs="Arial"/>
          <w:lang w:val="es-PY"/>
        </w:rPr>
        <w:t>las incertidumbres, los cost</w:t>
      </w:r>
      <w:r>
        <w:rPr>
          <w:rFonts w:cs="Arial"/>
          <w:lang w:val="es-PY"/>
        </w:rPr>
        <w:t>o</w:t>
      </w:r>
      <w:r w:rsidRPr="009371CD">
        <w:rPr>
          <w:rFonts w:cs="Arial"/>
          <w:lang w:val="es-PY"/>
        </w:rPr>
        <w:t xml:space="preserve">s de cumplimiento y las barreras de entrada asociadas a la regulación; </w:t>
      </w:r>
    </w:p>
    <w:p w14:paraId="0BEE16EB" w14:textId="77777777" w:rsidR="00312992" w:rsidRPr="009371CD" w:rsidRDefault="00312992" w:rsidP="00312992">
      <w:pPr>
        <w:widowControl w:val="0"/>
        <w:jc w:val="both"/>
        <w:rPr>
          <w:rFonts w:cs="Arial"/>
          <w:lang w:val="es-PY"/>
        </w:rPr>
      </w:pPr>
      <w:r w:rsidRPr="009371CD">
        <w:rPr>
          <w:rFonts w:cs="Arial"/>
          <w:lang w:val="es-PY"/>
        </w:rPr>
        <w:t xml:space="preserve">iii. </w:t>
      </w:r>
      <w:r>
        <w:rPr>
          <w:rFonts w:cs="Arial"/>
          <w:lang w:val="es-PY"/>
        </w:rPr>
        <w:t>incremento de</w:t>
      </w:r>
      <w:r w:rsidRPr="009371CD">
        <w:rPr>
          <w:rFonts w:cs="Arial"/>
          <w:lang w:val="es-PY"/>
        </w:rPr>
        <w:t xml:space="preserve"> la eficacia de la comunicación institucional del BCB y su relación con diversos segmentos de la sociedad; y </w:t>
      </w:r>
    </w:p>
    <w:p w14:paraId="47F1F596" w14:textId="77777777" w:rsidR="00312992" w:rsidRDefault="00312992" w:rsidP="00312992">
      <w:pPr>
        <w:jc w:val="both"/>
        <w:rPr>
          <w:rFonts w:cs="Arial"/>
          <w:lang w:val="es-PY"/>
        </w:rPr>
      </w:pPr>
      <w:r w:rsidRPr="009371CD">
        <w:rPr>
          <w:rFonts w:cs="Arial"/>
          <w:lang w:val="es-PY"/>
        </w:rPr>
        <w:t>iv. alinea</w:t>
      </w:r>
      <w:r>
        <w:rPr>
          <w:rFonts w:cs="Arial"/>
          <w:lang w:val="es-PY"/>
        </w:rPr>
        <w:t>miento</w:t>
      </w:r>
      <w:r w:rsidRPr="009371CD">
        <w:rPr>
          <w:rFonts w:cs="Arial"/>
          <w:lang w:val="es-PY"/>
        </w:rPr>
        <w:t xml:space="preserve"> del BCB con las nuevas disposiciones de la Ley de Libertad Económica y el Decreto AIR, con las mejores prácticas internacionales y con las recomendaciones de la Organización para la Cooperación y el Desarrollo Económico</w:t>
      </w:r>
      <w:r>
        <w:rPr>
          <w:rFonts w:cs="Arial"/>
          <w:lang w:val="es-PY"/>
        </w:rPr>
        <w:t>.</w:t>
      </w:r>
    </w:p>
    <w:p w14:paraId="28674885" w14:textId="77777777" w:rsidR="00312992" w:rsidRPr="009371CD" w:rsidRDefault="00312992" w:rsidP="00312992">
      <w:pPr>
        <w:widowControl w:val="0"/>
        <w:jc w:val="both"/>
        <w:rPr>
          <w:rFonts w:cs="Arial"/>
          <w:lang w:val="es-PY"/>
        </w:rPr>
      </w:pPr>
    </w:p>
    <w:p w14:paraId="1D55E5AB" w14:textId="77777777" w:rsidR="00312992" w:rsidRDefault="00312992" w:rsidP="00312992">
      <w:pPr>
        <w:jc w:val="both"/>
        <w:rPr>
          <w:rFonts w:cs="Arial"/>
          <w:lang w:val="es-PY"/>
        </w:rPr>
      </w:pPr>
      <w:r>
        <w:rPr>
          <w:rFonts w:cs="Arial"/>
          <w:lang w:val="es-PY"/>
        </w:rPr>
        <w:t xml:space="preserve">El </w:t>
      </w:r>
      <w:r w:rsidRPr="009371CD">
        <w:rPr>
          <w:rFonts w:cs="Arial"/>
          <w:lang w:val="es-PY"/>
        </w:rPr>
        <w:t xml:space="preserve">Aprimora ha definido una serie de fases y </w:t>
      </w:r>
      <w:r>
        <w:rPr>
          <w:rFonts w:cs="Arial"/>
          <w:lang w:val="es-PY"/>
        </w:rPr>
        <w:t>áreas</w:t>
      </w:r>
      <w:r w:rsidRPr="009371CD">
        <w:rPr>
          <w:rFonts w:cs="Arial"/>
          <w:lang w:val="es-PY"/>
        </w:rPr>
        <w:t xml:space="preserve"> de trabajo para desarrollar la capacidad de llevar a cabo AIR y ARR, empezando por una revisión de la literatura sobre el tema, estudiando y probando métodos y modelización, y pasando por el desarrollo de herramientas de apoyo para organizar y consultar la base de datos, junto con la formación de funcionarios. </w:t>
      </w:r>
    </w:p>
    <w:p w14:paraId="03589250" w14:textId="77777777" w:rsidR="00312992" w:rsidRPr="009371CD" w:rsidRDefault="00312992" w:rsidP="00312992">
      <w:pPr>
        <w:widowControl w:val="0"/>
        <w:jc w:val="both"/>
        <w:rPr>
          <w:rFonts w:cs="Arial"/>
          <w:lang w:val="es-PY"/>
        </w:rPr>
      </w:pPr>
    </w:p>
    <w:p w14:paraId="77F1BB96" w14:textId="77777777" w:rsidR="00312992" w:rsidRDefault="00312992" w:rsidP="00312992">
      <w:pPr>
        <w:jc w:val="both"/>
        <w:rPr>
          <w:rFonts w:cs="Arial"/>
          <w:lang w:val="es-PY"/>
        </w:rPr>
      </w:pPr>
      <w:r w:rsidRPr="009371CD">
        <w:rPr>
          <w:rFonts w:cs="Arial"/>
          <w:lang w:val="es-PY"/>
        </w:rPr>
        <w:t xml:space="preserve">El proyecto </w:t>
      </w:r>
      <w:r>
        <w:rPr>
          <w:rFonts w:cs="Arial"/>
          <w:lang w:val="es-PY"/>
        </w:rPr>
        <w:t>consideró</w:t>
      </w:r>
      <w:r w:rsidRPr="009371CD">
        <w:rPr>
          <w:rFonts w:cs="Arial"/>
          <w:lang w:val="es-PY"/>
        </w:rPr>
        <w:t xml:space="preserve"> las mejores prácticas en materia de regulación y gobernanza, haciendo </w:t>
      </w:r>
      <w:r>
        <w:rPr>
          <w:rFonts w:cs="Arial"/>
          <w:lang w:val="es-PY"/>
        </w:rPr>
        <w:t>énfasis</w:t>
      </w:r>
      <w:r w:rsidRPr="009371CD">
        <w:rPr>
          <w:rFonts w:cs="Arial"/>
          <w:lang w:val="es-PY"/>
        </w:rPr>
        <w:t xml:space="preserve"> en la transparencia y la participación en el proceso regulador. Esto ha garantizado que los ejercicios </w:t>
      </w:r>
      <w:r>
        <w:rPr>
          <w:rFonts w:cs="Arial"/>
          <w:lang w:val="es-PY"/>
        </w:rPr>
        <w:t>AIR</w:t>
      </w:r>
      <w:r w:rsidRPr="009371CD">
        <w:rPr>
          <w:rFonts w:cs="Arial"/>
          <w:lang w:val="es-PY"/>
        </w:rPr>
        <w:t xml:space="preserve"> y ARR aporten claridad en la comprensión de las normas, minimicen las posibles diferencias de interpretación y refuercen la armonización entre los procesos de regulación y supervisión. </w:t>
      </w:r>
    </w:p>
    <w:p w14:paraId="0FB64FFF" w14:textId="77777777" w:rsidR="00312992" w:rsidRPr="009371CD" w:rsidRDefault="00312992" w:rsidP="00312992">
      <w:pPr>
        <w:widowControl w:val="0"/>
        <w:jc w:val="both"/>
        <w:rPr>
          <w:rFonts w:cs="Arial"/>
          <w:lang w:val="es-PY"/>
        </w:rPr>
      </w:pPr>
    </w:p>
    <w:p w14:paraId="6027AFB1" w14:textId="77777777" w:rsidR="00312992" w:rsidRDefault="00312992" w:rsidP="00312992">
      <w:pPr>
        <w:jc w:val="both"/>
        <w:rPr>
          <w:rFonts w:cs="Arial"/>
          <w:lang w:val="es-PY"/>
        </w:rPr>
      </w:pPr>
      <w:r w:rsidRPr="009371CD">
        <w:rPr>
          <w:rFonts w:cs="Arial"/>
          <w:lang w:val="es-PY"/>
        </w:rPr>
        <w:t>En el contexto de la transparencia y la participación en el proceso regulador, el BCB organiza sistemáticamente consultas públicas y otras formas de participación social, con el objetivo de recibir sugerencias y comentarios del público en general antes de que se tomen las decisiones y se apliquen las medidas regula</w:t>
      </w:r>
      <w:r>
        <w:rPr>
          <w:rFonts w:cs="Arial"/>
          <w:lang w:val="es-PY"/>
        </w:rPr>
        <w:t>torias</w:t>
      </w:r>
      <w:r w:rsidRPr="009371CD">
        <w:rPr>
          <w:rFonts w:cs="Arial"/>
          <w:lang w:val="es-PY"/>
        </w:rPr>
        <w:t xml:space="preserve">. El objetivo es mejorar la comunicación institucional con la sociedad, ya que la transparencia es uno de los principios fundamentales para mantener la credibilidad. </w:t>
      </w:r>
    </w:p>
    <w:p w14:paraId="6D8C1322" w14:textId="77777777" w:rsidR="00312992" w:rsidRPr="009371CD" w:rsidRDefault="00312992" w:rsidP="00312992">
      <w:pPr>
        <w:widowControl w:val="0"/>
        <w:jc w:val="both"/>
        <w:rPr>
          <w:rFonts w:cs="Arial"/>
          <w:lang w:val="es-PY"/>
        </w:rPr>
      </w:pPr>
    </w:p>
    <w:p w14:paraId="31C6E687" w14:textId="77777777" w:rsidR="00312992" w:rsidRDefault="00312992" w:rsidP="00312992">
      <w:pPr>
        <w:jc w:val="both"/>
        <w:rPr>
          <w:rFonts w:cs="Arial"/>
          <w:lang w:val="es-PY"/>
        </w:rPr>
      </w:pPr>
      <w:r w:rsidRPr="009371CD">
        <w:rPr>
          <w:rFonts w:cs="Arial"/>
          <w:lang w:val="es-PY"/>
        </w:rPr>
        <w:t xml:space="preserve">Existe un importante vínculo entre </w:t>
      </w:r>
      <w:r>
        <w:rPr>
          <w:rFonts w:cs="Arial"/>
          <w:lang w:val="es-PY"/>
        </w:rPr>
        <w:t>el</w:t>
      </w:r>
      <w:r w:rsidRPr="009371CD">
        <w:rPr>
          <w:rFonts w:cs="Arial"/>
          <w:lang w:val="es-PY"/>
        </w:rPr>
        <w:t xml:space="preserve"> </w:t>
      </w:r>
      <w:r>
        <w:rPr>
          <w:rFonts w:cs="Arial"/>
          <w:lang w:val="es-PY"/>
        </w:rPr>
        <w:t>AIR</w:t>
      </w:r>
      <w:r w:rsidRPr="009371CD">
        <w:rPr>
          <w:rFonts w:cs="Arial"/>
          <w:lang w:val="es-PY"/>
        </w:rPr>
        <w:t xml:space="preserve"> y la consulta pública, otra importante herramienta de apoyo a la toma de decisiones</w:t>
      </w:r>
      <w:r>
        <w:rPr>
          <w:rStyle w:val="Refdenotaalpie"/>
          <w:rFonts w:cs="Arial"/>
          <w:lang w:val="es-PY"/>
        </w:rPr>
        <w:footnoteReference w:id="7"/>
      </w:r>
      <w:r w:rsidRPr="009371CD">
        <w:rPr>
          <w:rFonts w:cs="Arial"/>
          <w:lang w:val="es-PY"/>
        </w:rPr>
        <w:t xml:space="preserve">. </w:t>
      </w:r>
      <w:r>
        <w:rPr>
          <w:rFonts w:cs="Arial"/>
          <w:lang w:val="es-PY"/>
        </w:rPr>
        <w:t>El</w:t>
      </w:r>
      <w:r w:rsidRPr="009371CD">
        <w:rPr>
          <w:rFonts w:cs="Arial"/>
          <w:lang w:val="es-PY"/>
        </w:rPr>
        <w:t xml:space="preserve"> </w:t>
      </w:r>
      <w:r>
        <w:rPr>
          <w:rFonts w:cs="Arial"/>
          <w:lang w:val="es-PY"/>
        </w:rPr>
        <w:t>AIR</w:t>
      </w:r>
      <w:r w:rsidRPr="009371CD">
        <w:rPr>
          <w:rFonts w:cs="Arial"/>
          <w:lang w:val="es-PY"/>
        </w:rPr>
        <w:t xml:space="preserve"> aporta nueva información, aclara el problema que se aborda, delimita los objetivos y expone los impactos del acto normativo, haciendo más efectivos los aportes de</w:t>
      </w:r>
      <w:r>
        <w:rPr>
          <w:rFonts w:cs="Arial"/>
          <w:lang w:val="es-PY"/>
        </w:rPr>
        <w:t xml:space="preserve"> </w:t>
      </w:r>
      <w:r w:rsidRPr="009371CD">
        <w:rPr>
          <w:rFonts w:cs="Arial"/>
          <w:lang w:val="es-PY"/>
        </w:rPr>
        <w:t>l</w:t>
      </w:r>
      <w:r>
        <w:rPr>
          <w:rFonts w:cs="Arial"/>
          <w:lang w:val="es-PY"/>
        </w:rPr>
        <w:t>a</w:t>
      </w:r>
      <w:r w:rsidRPr="009371CD">
        <w:rPr>
          <w:rFonts w:cs="Arial"/>
          <w:lang w:val="es-PY"/>
        </w:rPr>
        <w:t xml:space="preserve"> CP. El Decreto </w:t>
      </w:r>
      <w:r>
        <w:rPr>
          <w:rFonts w:cs="Arial"/>
          <w:lang w:val="es-PY"/>
        </w:rPr>
        <w:t>AIR</w:t>
      </w:r>
      <w:r w:rsidRPr="009371CD">
        <w:rPr>
          <w:rFonts w:cs="Arial"/>
          <w:lang w:val="es-PY"/>
        </w:rPr>
        <w:t xml:space="preserve"> (10.411 de 2020) establece el vínculo formal entre estos dos procesos, en su artículo 9º, cuando </w:t>
      </w:r>
      <w:r>
        <w:rPr>
          <w:rFonts w:cs="Arial"/>
          <w:lang w:val="es-PY"/>
        </w:rPr>
        <w:t>obliga</w:t>
      </w:r>
      <w:r w:rsidRPr="009371CD">
        <w:rPr>
          <w:rFonts w:cs="Arial"/>
          <w:lang w:val="es-PY"/>
        </w:rPr>
        <w:t xml:space="preserve"> la realización de </w:t>
      </w:r>
      <w:r>
        <w:rPr>
          <w:rFonts w:cs="Arial"/>
          <w:lang w:val="es-PY"/>
        </w:rPr>
        <w:t>una CP</w:t>
      </w:r>
      <w:r w:rsidRPr="009371CD">
        <w:rPr>
          <w:rFonts w:cs="Arial"/>
          <w:lang w:val="es-PY"/>
        </w:rPr>
        <w:t xml:space="preserve"> en ediciones de actos normativos que se basen en las conclusiones de un </w:t>
      </w:r>
      <w:r>
        <w:rPr>
          <w:rFonts w:cs="Arial"/>
          <w:lang w:val="es-PY"/>
        </w:rPr>
        <w:t>AIR.</w:t>
      </w:r>
      <w:r w:rsidRPr="009371CD">
        <w:rPr>
          <w:rFonts w:cs="Arial"/>
          <w:lang w:val="es-PY"/>
        </w:rPr>
        <w:t xml:space="preserve"> </w:t>
      </w:r>
    </w:p>
    <w:p w14:paraId="3686A787" w14:textId="77777777" w:rsidR="00312992" w:rsidRPr="009371CD" w:rsidRDefault="00312992" w:rsidP="00312992">
      <w:pPr>
        <w:widowControl w:val="0"/>
        <w:jc w:val="both"/>
        <w:rPr>
          <w:rFonts w:cs="Arial"/>
          <w:lang w:val="es-PY"/>
        </w:rPr>
      </w:pPr>
    </w:p>
    <w:p w14:paraId="23D65FA7" w14:textId="4C30412D" w:rsidR="00312992" w:rsidRPr="00C6443F" w:rsidRDefault="00312992" w:rsidP="00C6443F">
      <w:pPr>
        <w:jc w:val="both"/>
        <w:rPr>
          <w:rFonts w:cs="Arial"/>
          <w:lang w:val="es-PY"/>
        </w:rPr>
      </w:pPr>
      <w:r w:rsidRPr="009371CD">
        <w:rPr>
          <w:rFonts w:cs="Arial"/>
          <w:lang w:val="es-PY"/>
        </w:rPr>
        <w:t xml:space="preserve">El Proyecto Aprimora logró desarrollar la capacidad de realizar </w:t>
      </w:r>
      <w:r>
        <w:rPr>
          <w:rFonts w:cs="Arial"/>
          <w:lang w:val="es-PY"/>
        </w:rPr>
        <w:t>AIR</w:t>
      </w:r>
      <w:r w:rsidRPr="009371CD">
        <w:rPr>
          <w:rFonts w:cs="Arial"/>
          <w:lang w:val="es-PY"/>
        </w:rPr>
        <w:t xml:space="preserve">, una práctica que se ha incorporado a la rutina de elaboración de normas. Algunos informes de </w:t>
      </w:r>
      <w:r>
        <w:rPr>
          <w:rFonts w:cs="Arial"/>
          <w:lang w:val="es-PY"/>
        </w:rPr>
        <w:t>AIR</w:t>
      </w:r>
      <w:r w:rsidRPr="009371CD">
        <w:rPr>
          <w:rFonts w:cs="Arial"/>
          <w:lang w:val="es-PY"/>
        </w:rPr>
        <w:t xml:space="preserve"> elaborados por el BCB pueden consultarse y están disponibles en el sitio web de la institución</w:t>
      </w:r>
      <w:r>
        <w:rPr>
          <w:rStyle w:val="Refdenotaalpie"/>
          <w:rFonts w:cs="Arial"/>
          <w:lang w:val="es-PY"/>
        </w:rPr>
        <w:footnoteReference w:id="8"/>
      </w:r>
      <w:r w:rsidRPr="009371CD">
        <w:rPr>
          <w:rFonts w:cs="Arial"/>
          <w:lang w:val="es-PY"/>
        </w:rPr>
        <w:t xml:space="preserve">. </w:t>
      </w:r>
    </w:p>
    <w:p w14:paraId="5DB079C1" w14:textId="77777777" w:rsidR="00312992" w:rsidRDefault="00312992" w:rsidP="00312992">
      <w:pPr>
        <w:jc w:val="center"/>
        <w:rPr>
          <w:rFonts w:cs="Arial"/>
        </w:rPr>
      </w:pPr>
    </w:p>
    <w:p w14:paraId="67FC6015" w14:textId="77777777" w:rsidR="00312992" w:rsidRDefault="00312992" w:rsidP="00312992">
      <w:pPr>
        <w:jc w:val="both"/>
        <w:rPr>
          <w:rFonts w:cs="Arial"/>
          <w:b/>
        </w:rPr>
      </w:pPr>
      <w:r w:rsidRPr="00892870">
        <w:rPr>
          <w:rFonts w:cs="Arial"/>
          <w:b/>
        </w:rPr>
        <w:t>Bibliografía</w:t>
      </w:r>
      <w:r>
        <w:rPr>
          <w:rFonts w:cs="Arial"/>
          <w:b/>
        </w:rPr>
        <w:t>:</w:t>
      </w:r>
    </w:p>
    <w:p w14:paraId="69C119E4" w14:textId="77777777" w:rsidR="00312992" w:rsidRPr="00892870" w:rsidRDefault="00312992" w:rsidP="00312992">
      <w:pPr>
        <w:jc w:val="both"/>
        <w:rPr>
          <w:rFonts w:cs="Arial"/>
          <w:b/>
        </w:rPr>
      </w:pPr>
    </w:p>
    <w:p w14:paraId="300B292E" w14:textId="77777777" w:rsidR="00312992" w:rsidRPr="00C31A7A" w:rsidRDefault="00312992" w:rsidP="00312992">
      <w:pPr>
        <w:pStyle w:val="Prrafodelista"/>
        <w:widowControl w:val="0"/>
        <w:numPr>
          <w:ilvl w:val="0"/>
          <w:numId w:val="21"/>
        </w:numPr>
        <w:autoSpaceDE w:val="0"/>
        <w:autoSpaceDN w:val="0"/>
        <w:spacing w:after="0" w:line="240" w:lineRule="auto"/>
        <w:ind w:right="140"/>
        <w:contextualSpacing w:val="0"/>
        <w:rPr>
          <w:rFonts w:ascii="Arial" w:hAnsi="Arial" w:cs="Arial"/>
        </w:rPr>
      </w:pPr>
      <w:r w:rsidRPr="00A631D3">
        <w:rPr>
          <w:rFonts w:ascii="Arial" w:hAnsi="Arial" w:cs="Arial"/>
        </w:rPr>
        <w:t>OECD (2012), Recommendation of the Council on Regulatory Policy and Governance, OECD Publishing, Paris</w:t>
      </w:r>
      <w:r>
        <w:rPr>
          <w:rFonts w:ascii="Segoe UI" w:hAnsi="Segoe UI" w:cs="Segoe UI"/>
        </w:rPr>
        <w:t>, </w:t>
      </w:r>
      <w:hyperlink r:id="rId10" w:history="1">
        <w:r w:rsidRPr="00C31A7A">
          <w:rPr>
            <w:rStyle w:val="Hipervnculo"/>
            <w:rFonts w:ascii="Arial" w:hAnsi="Arial" w:cs="Arial"/>
          </w:rPr>
          <w:t>http://dx.doi.org/10.1787/9789264209022-en</w:t>
        </w:r>
      </w:hyperlink>
    </w:p>
    <w:p w14:paraId="37378C06" w14:textId="77777777" w:rsidR="00312992" w:rsidRPr="00A631D3" w:rsidRDefault="00312992" w:rsidP="00312992">
      <w:pPr>
        <w:pStyle w:val="Prrafodelista"/>
        <w:ind w:right="140"/>
        <w:rPr>
          <w:rFonts w:ascii="Arial" w:hAnsi="Arial" w:cs="Arial"/>
        </w:rPr>
      </w:pPr>
    </w:p>
    <w:p w14:paraId="69039280" w14:textId="77777777" w:rsidR="00312992" w:rsidRPr="00892870" w:rsidRDefault="00312992" w:rsidP="00312992">
      <w:pPr>
        <w:pStyle w:val="Prrafodelista"/>
        <w:widowControl w:val="0"/>
        <w:numPr>
          <w:ilvl w:val="0"/>
          <w:numId w:val="21"/>
        </w:numPr>
        <w:autoSpaceDE w:val="0"/>
        <w:autoSpaceDN w:val="0"/>
        <w:spacing w:after="0" w:line="240" w:lineRule="auto"/>
        <w:ind w:right="140"/>
        <w:contextualSpacing w:val="0"/>
        <w:rPr>
          <w:rFonts w:ascii="Arial" w:hAnsi="Arial" w:cs="Arial"/>
        </w:rPr>
      </w:pPr>
      <w:r w:rsidRPr="00892870">
        <w:rPr>
          <w:rFonts w:ascii="Arial" w:hAnsi="Arial" w:cs="Arial"/>
        </w:rPr>
        <w:t>OE</w:t>
      </w:r>
      <w:r>
        <w:rPr>
          <w:rFonts w:ascii="Arial" w:hAnsi="Arial" w:cs="Arial"/>
        </w:rPr>
        <w:t>CD</w:t>
      </w:r>
      <w:r w:rsidRPr="00892870">
        <w:rPr>
          <w:rFonts w:ascii="Arial" w:hAnsi="Arial" w:cs="Arial"/>
        </w:rPr>
        <w:t xml:space="preserve"> (2020), Regulatory Impact Assessment, OECD Best</w:t>
      </w:r>
      <w:r>
        <w:rPr>
          <w:rFonts w:ascii="Arial" w:hAnsi="Arial" w:cs="Arial"/>
        </w:rPr>
        <w:t xml:space="preserve"> </w:t>
      </w:r>
      <w:r w:rsidRPr="00892870">
        <w:rPr>
          <w:rFonts w:ascii="Arial" w:hAnsi="Arial" w:cs="Arial"/>
        </w:rPr>
        <w:t>Practice Principles for Regulatory Policy, OECD Publishing, Paris,</w:t>
      </w:r>
      <w:r>
        <w:rPr>
          <w:rFonts w:ascii="Arial" w:hAnsi="Arial" w:cs="Arial"/>
        </w:rPr>
        <w:t xml:space="preserve"> </w:t>
      </w:r>
      <w:hyperlink r:id="rId11" w:history="1">
        <w:r w:rsidRPr="00892870">
          <w:rPr>
            <w:rStyle w:val="Hipervnculo"/>
            <w:rFonts w:ascii="Arial" w:hAnsi="Arial" w:cs="Arial"/>
          </w:rPr>
          <w:t>https://doi.org/10.1787/7a9638cb-en</w:t>
        </w:r>
      </w:hyperlink>
    </w:p>
    <w:p w14:paraId="49182DEA" w14:textId="77777777" w:rsidR="00312992" w:rsidRPr="00892870" w:rsidRDefault="00312992" w:rsidP="00312992">
      <w:pPr>
        <w:rPr>
          <w:rFonts w:cs="Arial"/>
          <w:b/>
        </w:rPr>
      </w:pPr>
    </w:p>
    <w:p w14:paraId="3FA635B0" w14:textId="77777777" w:rsidR="00312992" w:rsidRPr="00892870" w:rsidRDefault="00312992" w:rsidP="00312992">
      <w:pPr>
        <w:pStyle w:val="Textonotapie"/>
        <w:numPr>
          <w:ilvl w:val="0"/>
          <w:numId w:val="21"/>
        </w:numPr>
        <w:rPr>
          <w:rFonts w:cs="Arial"/>
          <w:sz w:val="22"/>
          <w:szCs w:val="22"/>
        </w:rPr>
      </w:pPr>
      <w:r w:rsidRPr="00892870">
        <w:rPr>
          <w:rFonts w:cs="Arial"/>
          <w:sz w:val="22"/>
          <w:szCs w:val="22"/>
        </w:rPr>
        <w:t xml:space="preserve">OECD (2021), OECD Regulatory Policy Outlook 2021, OECD Publishing, Paris, </w:t>
      </w:r>
    </w:p>
    <w:p w14:paraId="666665F2" w14:textId="77777777" w:rsidR="00312992" w:rsidRPr="00892870" w:rsidRDefault="003A6015" w:rsidP="00312992">
      <w:pPr>
        <w:pStyle w:val="Textonotapie"/>
        <w:ind w:left="720"/>
        <w:rPr>
          <w:rFonts w:cs="Arial"/>
          <w:sz w:val="22"/>
          <w:szCs w:val="22"/>
        </w:rPr>
      </w:pPr>
      <w:hyperlink r:id="rId12" w:history="1">
        <w:r w:rsidR="00312992" w:rsidRPr="00251B17">
          <w:rPr>
            <w:rStyle w:val="Hipervnculo"/>
            <w:rFonts w:cs="Arial"/>
            <w:sz w:val="22"/>
            <w:szCs w:val="22"/>
          </w:rPr>
          <w:t>https://doi.org/10.1787/38b0fdb1-en</w:t>
        </w:r>
      </w:hyperlink>
    </w:p>
    <w:p w14:paraId="0161D9EC" w14:textId="77777777" w:rsidR="00312992" w:rsidRDefault="00312992" w:rsidP="00312992">
      <w:pPr>
        <w:pStyle w:val="Prrafodelista"/>
        <w:ind w:right="-1"/>
        <w:rPr>
          <w:rFonts w:ascii="Arial" w:hAnsi="Arial" w:cs="Arial"/>
        </w:rPr>
      </w:pPr>
    </w:p>
    <w:p w14:paraId="21F1E085" w14:textId="09FD89A3" w:rsidR="00312992" w:rsidRPr="00770F9B" w:rsidRDefault="00312992" w:rsidP="00312992">
      <w:pPr>
        <w:pStyle w:val="Prrafodelista"/>
        <w:widowControl w:val="0"/>
        <w:numPr>
          <w:ilvl w:val="0"/>
          <w:numId w:val="21"/>
        </w:numPr>
        <w:autoSpaceDE w:val="0"/>
        <w:autoSpaceDN w:val="0"/>
        <w:spacing w:after="0" w:line="240" w:lineRule="auto"/>
        <w:ind w:right="-1" w:hanging="294"/>
        <w:contextualSpacing w:val="0"/>
        <w:rPr>
          <w:rFonts w:ascii="Arial" w:eastAsia="Arial MT" w:hAnsi="Arial" w:cs="Arial"/>
        </w:rPr>
      </w:pPr>
      <w:r w:rsidRPr="00770F9B">
        <w:rPr>
          <w:rFonts w:ascii="Arial" w:eastAsia="Arial MT" w:hAnsi="Arial" w:cs="Arial"/>
        </w:rPr>
        <w:t>OECD (2024), Government at a Glance: Latin America and the Caribbean 2024</w:t>
      </w:r>
      <w:r w:rsidR="00B956EF">
        <w:rPr>
          <w:rFonts w:ascii="Arial" w:eastAsia="Arial MT" w:hAnsi="Arial" w:cs="Arial"/>
        </w:rPr>
        <w:t xml:space="preserve"> </w:t>
      </w:r>
      <w:r w:rsidRPr="00770F9B">
        <w:rPr>
          <w:rFonts w:ascii="Arial" w:eastAsia="Arial MT" w:hAnsi="Arial" w:cs="Arial"/>
        </w:rPr>
        <w:t>OECD Publishing, Paris, </w:t>
      </w:r>
      <w:hyperlink r:id="rId13" w:history="1">
        <w:r w:rsidRPr="00770F9B">
          <w:rPr>
            <w:rStyle w:val="Hipervnculo"/>
            <w:rFonts w:ascii="Arial" w:eastAsia="Arial MT" w:hAnsi="Arial" w:cs="Arial"/>
          </w:rPr>
          <w:t>https://doi.org/10.1787/4abdba16-en</w:t>
        </w:r>
      </w:hyperlink>
    </w:p>
    <w:p w14:paraId="573F011E" w14:textId="77777777" w:rsidR="00312992" w:rsidRPr="00770F9B" w:rsidRDefault="00312992" w:rsidP="00312992">
      <w:pPr>
        <w:pStyle w:val="Prrafodelista"/>
        <w:ind w:right="-1"/>
        <w:rPr>
          <w:rFonts w:ascii="Arial" w:eastAsia="Arial MT" w:hAnsi="Arial" w:cs="Arial"/>
        </w:rPr>
      </w:pPr>
    </w:p>
    <w:p w14:paraId="271AC716" w14:textId="77777777" w:rsidR="00312992" w:rsidRPr="00770F9B" w:rsidRDefault="00312992" w:rsidP="00312992">
      <w:pPr>
        <w:rPr>
          <w:rFonts w:cs="Arial"/>
        </w:rPr>
      </w:pPr>
    </w:p>
    <w:p w14:paraId="4954576E" w14:textId="77777777" w:rsidR="00312992" w:rsidRPr="00892870" w:rsidRDefault="00312992" w:rsidP="00312992">
      <w:pPr>
        <w:rPr>
          <w:rFonts w:cs="Arial"/>
          <w:b/>
        </w:rPr>
      </w:pPr>
    </w:p>
    <w:p w14:paraId="44C906C4" w14:textId="77777777" w:rsidR="00151FDC" w:rsidRPr="00151FDC" w:rsidRDefault="00151FDC" w:rsidP="00312992">
      <w:pPr>
        <w:jc w:val="both"/>
        <w:rPr>
          <w:sz w:val="22"/>
          <w:szCs w:val="22"/>
          <w:lang w:val="es-ES"/>
        </w:rPr>
      </w:pPr>
    </w:p>
    <w:sectPr w:rsidR="00151FDC" w:rsidRPr="00151FDC">
      <w:footerReference w:type="even" r:id="rId14"/>
      <w:footerReference w:type="default" r:id="rId15"/>
      <w:headerReference w:type="first" r:id="rId16"/>
      <w:pgSz w:w="11907" w:h="16840" w:code="9"/>
      <w:pgMar w:top="1701" w:right="1418" w:bottom="1134" w:left="1418" w:header="720" w:footer="1474" w:gutter="0"/>
      <w:paperSrc w:first="108" w:other="10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F179" w14:textId="77777777" w:rsidR="000F43D9" w:rsidRDefault="000F43D9">
      <w:r>
        <w:separator/>
      </w:r>
    </w:p>
  </w:endnote>
  <w:endnote w:type="continuationSeparator" w:id="0">
    <w:p w14:paraId="4262175D" w14:textId="77777777" w:rsidR="000F43D9" w:rsidRDefault="000F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e Monde Livre Std">
    <w:panose1 w:val="02000503060000020004"/>
    <w:charset w:val="00"/>
    <w:family w:val="modern"/>
    <w:notTrueType/>
    <w:pitch w:val="variable"/>
    <w:sig w:usb0="800000EF" w:usb1="5000004A" w:usb2="00000000" w:usb3="00000000" w:csb0="00000001" w:csb1="00000000"/>
  </w:font>
  <w:font w:name="BaskervilleT">
    <w:charset w:val="00"/>
    <w:family w:val="roman"/>
    <w:pitch w:val="variable"/>
    <w:sig w:usb0="00000007" w:usb1="00000000" w:usb2="00000000" w:usb3="00000000" w:csb0="0000001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BD6C" w14:textId="0366898E" w:rsidR="00982892" w:rsidRDefault="009828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5933">
      <w:rPr>
        <w:rStyle w:val="Nmerodepgina"/>
        <w:noProof/>
      </w:rPr>
      <w:t>2</w:t>
    </w:r>
    <w:r>
      <w:rPr>
        <w:rStyle w:val="Nmerodepgina"/>
      </w:rPr>
      <w:fldChar w:fldCharType="end"/>
    </w:r>
  </w:p>
  <w:p w14:paraId="1B8FDF8F" w14:textId="77777777" w:rsidR="00982892" w:rsidRDefault="0098289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876669"/>
      <w:docPartObj>
        <w:docPartGallery w:val="Page Numbers (Bottom of Page)"/>
        <w:docPartUnique/>
      </w:docPartObj>
    </w:sdtPr>
    <w:sdtEndPr/>
    <w:sdtContent>
      <w:p w14:paraId="0D64C772" w14:textId="6845BDAB" w:rsidR="0048300C" w:rsidRDefault="0048300C">
        <w:pPr>
          <w:pStyle w:val="Piedepgina"/>
          <w:jc w:val="right"/>
        </w:pPr>
        <w:r>
          <w:fldChar w:fldCharType="begin"/>
        </w:r>
        <w:r>
          <w:instrText>PAGE   \* MERGEFORMAT</w:instrText>
        </w:r>
        <w:r>
          <w:fldChar w:fldCharType="separate"/>
        </w:r>
        <w:r w:rsidR="003A6015" w:rsidRPr="003A6015">
          <w:rPr>
            <w:noProof/>
            <w:lang w:val="es-ES"/>
          </w:rPr>
          <w:t>2</w:t>
        </w:r>
        <w:r>
          <w:fldChar w:fldCharType="end"/>
        </w:r>
      </w:p>
    </w:sdtContent>
  </w:sdt>
  <w:p w14:paraId="7B428CFA" w14:textId="77777777" w:rsidR="00982892" w:rsidRDefault="00982892">
    <w:pPr>
      <w:pStyle w:val="Piedepgina"/>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D1CC" w14:textId="77777777" w:rsidR="000F43D9" w:rsidRDefault="000F43D9">
      <w:r>
        <w:separator/>
      </w:r>
    </w:p>
  </w:footnote>
  <w:footnote w:type="continuationSeparator" w:id="0">
    <w:p w14:paraId="6AAE0641" w14:textId="77777777" w:rsidR="000F43D9" w:rsidRDefault="000F43D9">
      <w:r>
        <w:continuationSeparator/>
      </w:r>
    </w:p>
  </w:footnote>
  <w:footnote w:id="1">
    <w:p w14:paraId="29C03CEA" w14:textId="77777777" w:rsidR="00312992" w:rsidRPr="00416CA9" w:rsidRDefault="00312992" w:rsidP="00312992">
      <w:pPr>
        <w:pStyle w:val="Textonotapie"/>
        <w:rPr>
          <w:rFonts w:cs="Arial"/>
          <w:sz w:val="16"/>
          <w:szCs w:val="16"/>
          <w:lang w:val="es-UY"/>
        </w:rPr>
      </w:pPr>
      <w:r>
        <w:rPr>
          <w:rStyle w:val="Refdenotaalpie"/>
        </w:rPr>
        <w:footnoteRef/>
      </w:r>
      <w:r>
        <w:t xml:space="preserve"> </w:t>
      </w:r>
      <w:r w:rsidRPr="00416CA9">
        <w:rPr>
          <w:rFonts w:cs="Arial"/>
          <w:sz w:val="16"/>
          <w:szCs w:val="16"/>
          <w:lang w:val="es-UY"/>
        </w:rPr>
        <w:t xml:space="preserve">RIA – Regulatory </w:t>
      </w:r>
      <w:r>
        <w:rPr>
          <w:rFonts w:cs="Arial"/>
          <w:sz w:val="16"/>
          <w:szCs w:val="16"/>
          <w:lang w:val="es-UY"/>
        </w:rPr>
        <w:t>Impact Assessment (por sus siglas en inglés).</w:t>
      </w:r>
    </w:p>
  </w:footnote>
  <w:footnote w:id="2">
    <w:p w14:paraId="4EEDA8AF" w14:textId="77777777" w:rsidR="00312992" w:rsidRPr="00DA5416" w:rsidRDefault="00312992" w:rsidP="00312992">
      <w:pPr>
        <w:pStyle w:val="Textonotapie"/>
        <w:jc w:val="both"/>
        <w:rPr>
          <w:rFonts w:cs="Arial"/>
          <w:sz w:val="16"/>
          <w:szCs w:val="16"/>
          <w:lang w:val="es-UY"/>
        </w:rPr>
      </w:pPr>
      <w:r>
        <w:rPr>
          <w:rStyle w:val="Refdenotaalpie"/>
        </w:rPr>
        <w:footnoteRef/>
      </w:r>
      <w:r>
        <w:rPr>
          <w:rFonts w:cs="Arial"/>
          <w:sz w:val="16"/>
          <w:szCs w:val="16"/>
          <w:lang w:val="es-UY"/>
        </w:rPr>
        <w:t xml:space="preserve"> </w:t>
      </w:r>
      <w:r w:rsidRPr="00DA5416">
        <w:rPr>
          <w:rFonts w:cs="Arial"/>
          <w:sz w:val="16"/>
          <w:szCs w:val="16"/>
          <w:lang w:val="es-UY"/>
        </w:rPr>
        <w:t>La regulación se refiere al variado conjunto de instrumentos mediante los cuales los gobiernos establecen requisitos para los negocios y ciudadanos. Las leyes primarias deben ser aprobadas por el poder legislativo. Las regulaciones subordinadas son creadas por el ejecutivo y generalmente son aprobadas por el presidente, un ministro o el gabinete.</w:t>
      </w:r>
    </w:p>
  </w:footnote>
  <w:footnote w:id="3">
    <w:p w14:paraId="0E6D2CF3" w14:textId="7307A50E" w:rsidR="00312992" w:rsidRPr="00D1256A" w:rsidRDefault="00312992" w:rsidP="00312992">
      <w:pPr>
        <w:pStyle w:val="Textonotapie"/>
        <w:rPr>
          <w:rFonts w:cs="Arial"/>
          <w:sz w:val="16"/>
          <w:szCs w:val="16"/>
          <w:lang w:val="es-ES"/>
        </w:rPr>
      </w:pPr>
      <w:r>
        <w:rPr>
          <w:rStyle w:val="Refdenotaalpie"/>
        </w:rPr>
        <w:footnoteRef/>
      </w:r>
      <w:r>
        <w:t xml:space="preserve"> </w:t>
      </w:r>
      <w:r w:rsidR="00810C19">
        <w:rPr>
          <w:rFonts w:cs="Arial"/>
          <w:sz w:val="16"/>
          <w:szCs w:val="16"/>
        </w:rPr>
        <w:t>Ley</w:t>
      </w:r>
      <w:r w:rsidRPr="00D1256A">
        <w:rPr>
          <w:rFonts w:cs="Arial"/>
          <w:sz w:val="16"/>
          <w:szCs w:val="16"/>
        </w:rPr>
        <w:t xml:space="preserve"> nº 13.848, de 25 de </w:t>
      </w:r>
      <w:r w:rsidR="00810C19">
        <w:rPr>
          <w:rFonts w:cs="Arial"/>
          <w:sz w:val="16"/>
          <w:szCs w:val="16"/>
        </w:rPr>
        <w:t>junio</w:t>
      </w:r>
      <w:r w:rsidRPr="00D1256A">
        <w:rPr>
          <w:rFonts w:cs="Arial"/>
          <w:sz w:val="16"/>
          <w:szCs w:val="16"/>
        </w:rPr>
        <w:t xml:space="preserve"> de 2019, </w:t>
      </w:r>
      <w:hyperlink r:id="rId1" w:anchor="art6" w:history="1">
        <w:r w:rsidRPr="00D1256A">
          <w:rPr>
            <w:rStyle w:val="Hipervnculo"/>
            <w:rFonts w:cs="Arial"/>
            <w:sz w:val="16"/>
            <w:szCs w:val="16"/>
          </w:rPr>
          <w:t>https://www.planalto.gov.br/ccivil_03/_ato2019-2022/2019/Lei/L13848.htm#art6</w:t>
        </w:r>
      </w:hyperlink>
      <w:r w:rsidRPr="00D1256A">
        <w:rPr>
          <w:rFonts w:cs="Arial"/>
          <w:sz w:val="16"/>
          <w:szCs w:val="16"/>
        </w:rPr>
        <w:t xml:space="preserve"> .</w:t>
      </w:r>
    </w:p>
  </w:footnote>
  <w:footnote w:id="4">
    <w:p w14:paraId="0D6224EC" w14:textId="2457239C" w:rsidR="00312992" w:rsidRPr="00D1256A" w:rsidRDefault="00312992" w:rsidP="00312992">
      <w:pPr>
        <w:pStyle w:val="Textonotapie"/>
        <w:rPr>
          <w:rFonts w:cs="Arial"/>
          <w:sz w:val="16"/>
          <w:szCs w:val="16"/>
          <w:lang w:val="es-ES"/>
        </w:rPr>
      </w:pPr>
      <w:r w:rsidRPr="00D1256A">
        <w:rPr>
          <w:rStyle w:val="Refdenotaalpie"/>
          <w:rFonts w:cs="Arial"/>
          <w:sz w:val="16"/>
          <w:szCs w:val="16"/>
        </w:rPr>
        <w:footnoteRef/>
      </w:r>
      <w:r w:rsidRPr="00D1256A">
        <w:rPr>
          <w:rFonts w:cs="Arial"/>
          <w:sz w:val="16"/>
          <w:szCs w:val="16"/>
        </w:rPr>
        <w:t xml:space="preserve"> </w:t>
      </w:r>
      <w:r w:rsidR="00810C19">
        <w:rPr>
          <w:rFonts w:cs="Arial"/>
          <w:sz w:val="16"/>
          <w:szCs w:val="16"/>
        </w:rPr>
        <w:t>Ley</w:t>
      </w:r>
      <w:r w:rsidRPr="00D1256A">
        <w:rPr>
          <w:rFonts w:cs="Arial"/>
          <w:sz w:val="16"/>
          <w:szCs w:val="16"/>
        </w:rPr>
        <w:t xml:space="preserve"> nº 13.874, de 20 de </w:t>
      </w:r>
      <w:r w:rsidR="00810C19">
        <w:rPr>
          <w:rFonts w:cs="Arial"/>
          <w:sz w:val="16"/>
          <w:szCs w:val="16"/>
        </w:rPr>
        <w:t>setiembre</w:t>
      </w:r>
      <w:r w:rsidRPr="00D1256A">
        <w:rPr>
          <w:rFonts w:cs="Arial"/>
          <w:sz w:val="16"/>
          <w:szCs w:val="16"/>
        </w:rPr>
        <w:t xml:space="preserve"> de 2019, </w:t>
      </w:r>
      <w:hyperlink r:id="rId2" w:anchor="art5" w:history="1">
        <w:r w:rsidRPr="00D1256A">
          <w:rPr>
            <w:rStyle w:val="Hipervnculo"/>
            <w:rFonts w:cs="Arial"/>
            <w:sz w:val="16"/>
            <w:szCs w:val="16"/>
          </w:rPr>
          <w:t>https://www.planalto.gov.br/ccivil_03/_ato2019-2022/2019/Lei/L13874.htm#art5</w:t>
        </w:r>
      </w:hyperlink>
      <w:r w:rsidRPr="00D1256A">
        <w:rPr>
          <w:rFonts w:cs="Arial"/>
          <w:sz w:val="16"/>
          <w:szCs w:val="16"/>
        </w:rPr>
        <w:t xml:space="preserve"> .</w:t>
      </w:r>
    </w:p>
  </w:footnote>
  <w:footnote w:id="5">
    <w:p w14:paraId="092F1F85" w14:textId="77777777" w:rsidR="00312992" w:rsidRPr="0034660F" w:rsidRDefault="00312992" w:rsidP="00312992">
      <w:pPr>
        <w:pStyle w:val="Textonotapie"/>
        <w:rPr>
          <w:lang w:val="es-PY"/>
        </w:rPr>
      </w:pPr>
      <w:r>
        <w:rPr>
          <w:rStyle w:val="Refdenotaalpie"/>
        </w:rPr>
        <w:footnoteRef/>
      </w:r>
      <w:r>
        <w:t xml:space="preserve"> </w:t>
      </w:r>
      <w:hyperlink r:id="rId3" w:history="1">
        <w:r w:rsidRPr="0034660F">
          <w:rPr>
            <w:rStyle w:val="Hipervnculo"/>
            <w:rFonts w:cs="Arial"/>
            <w:sz w:val="16"/>
            <w:szCs w:val="16"/>
          </w:rPr>
          <w:t>https://www.planalto.gov.br/ccivil_03/_ato2019-2022/2020/decreto/d10411.htm</w:t>
        </w:r>
      </w:hyperlink>
    </w:p>
  </w:footnote>
  <w:footnote w:id="6">
    <w:p w14:paraId="6FD8E41D" w14:textId="2A4625F3" w:rsidR="00312992" w:rsidRPr="001C1676" w:rsidRDefault="00312992" w:rsidP="00312992">
      <w:pPr>
        <w:pStyle w:val="Textonotapie"/>
        <w:rPr>
          <w:lang w:val="es-ES"/>
        </w:rPr>
      </w:pPr>
      <w:r w:rsidRPr="00D1256A">
        <w:rPr>
          <w:rStyle w:val="Refdenotaalpie"/>
          <w:rFonts w:cs="Arial"/>
          <w:sz w:val="16"/>
          <w:szCs w:val="16"/>
        </w:rPr>
        <w:footnoteRef/>
      </w:r>
      <w:r w:rsidRPr="00D1256A">
        <w:rPr>
          <w:rFonts w:cs="Arial"/>
          <w:sz w:val="16"/>
          <w:szCs w:val="16"/>
        </w:rPr>
        <w:t xml:space="preserve"> </w:t>
      </w:r>
      <w:r w:rsidR="00810C19" w:rsidRPr="00810C19">
        <w:rPr>
          <w:rFonts w:cs="Arial"/>
          <w:sz w:val="16"/>
          <w:szCs w:val="16"/>
        </w:rPr>
        <w:t>El artículo 7 del Decreto enumera diversas metodologías para calibrar la razonabilidad del impacto económico, como el análisis multi</w:t>
      </w:r>
      <w:r w:rsidR="00810C19">
        <w:rPr>
          <w:rFonts w:cs="Arial"/>
          <w:sz w:val="16"/>
          <w:szCs w:val="16"/>
        </w:rPr>
        <w:t xml:space="preserve"> </w:t>
      </w:r>
      <w:r w:rsidR="00810C19" w:rsidRPr="00810C19">
        <w:rPr>
          <w:rFonts w:cs="Arial"/>
          <w:sz w:val="16"/>
          <w:szCs w:val="16"/>
        </w:rPr>
        <w:t>criterio, el análisis cost</w:t>
      </w:r>
      <w:r w:rsidR="00810C19">
        <w:rPr>
          <w:rFonts w:cs="Arial"/>
          <w:sz w:val="16"/>
          <w:szCs w:val="16"/>
        </w:rPr>
        <w:t>o-beneficio, el análisis costo</w:t>
      </w:r>
      <w:r w:rsidR="00810C19" w:rsidRPr="00810C19">
        <w:rPr>
          <w:rFonts w:cs="Arial"/>
          <w:sz w:val="16"/>
          <w:szCs w:val="16"/>
        </w:rPr>
        <w:t>-eficacia y el análisis de riesgos.</w:t>
      </w:r>
    </w:p>
  </w:footnote>
  <w:footnote w:id="7">
    <w:p w14:paraId="6EB43294" w14:textId="15CAFE2D" w:rsidR="00312992" w:rsidRPr="00D1256A" w:rsidRDefault="00312992" w:rsidP="00312992">
      <w:pPr>
        <w:pStyle w:val="Textonotapie"/>
        <w:rPr>
          <w:sz w:val="16"/>
          <w:szCs w:val="16"/>
          <w:lang w:val="es-ES"/>
        </w:rPr>
      </w:pPr>
      <w:r>
        <w:rPr>
          <w:rStyle w:val="Refdenotaalpie"/>
        </w:rPr>
        <w:footnoteRef/>
      </w:r>
      <w:r>
        <w:t xml:space="preserve"> </w:t>
      </w:r>
      <w:r w:rsidR="00151831" w:rsidRPr="00151831">
        <w:rPr>
          <w:rFonts w:cs="Arial"/>
          <w:sz w:val="16"/>
          <w:szCs w:val="16"/>
        </w:rPr>
        <w:t>El capítulo V del Decreto 12.002 de 22 de abril de 2024, que establece criterios para la elaboración de actos normativos, trata de la consulta pública.</w:t>
      </w:r>
      <w:r w:rsidR="00151831" w:rsidRPr="00151831">
        <w:t xml:space="preserve"> </w:t>
      </w:r>
      <w:hyperlink r:id="rId4" w:history="1">
        <w:r w:rsidRPr="00D1256A">
          <w:rPr>
            <w:rStyle w:val="Hipervnculo"/>
            <w:sz w:val="16"/>
            <w:szCs w:val="16"/>
          </w:rPr>
          <w:t>https://www.planalto.gov.br/ccivil_03/_ato2023-2026/2024/decreto/D12002.htm</w:t>
        </w:r>
      </w:hyperlink>
    </w:p>
  </w:footnote>
  <w:footnote w:id="8">
    <w:p w14:paraId="12055653" w14:textId="77777777" w:rsidR="00312992" w:rsidRPr="001C1676" w:rsidRDefault="00312992" w:rsidP="00312992">
      <w:pPr>
        <w:pStyle w:val="Textonotapie"/>
        <w:rPr>
          <w:lang w:val="es-ES"/>
        </w:rPr>
      </w:pPr>
      <w:r w:rsidRPr="00D1256A">
        <w:rPr>
          <w:rStyle w:val="Refdenotaalpie"/>
          <w:sz w:val="16"/>
          <w:szCs w:val="16"/>
        </w:rPr>
        <w:footnoteRef/>
      </w:r>
      <w:r w:rsidRPr="00D1256A">
        <w:rPr>
          <w:sz w:val="16"/>
          <w:szCs w:val="16"/>
        </w:rPr>
        <w:t xml:space="preserve"> </w:t>
      </w:r>
      <w:hyperlink r:id="rId5" w:history="1">
        <w:r w:rsidRPr="00D1256A">
          <w:rPr>
            <w:rStyle w:val="Hipervnculo"/>
            <w:sz w:val="16"/>
            <w:szCs w:val="16"/>
          </w:rPr>
          <w:t>https://www.bcb.gov.br/estabilidadefinancAIRa/analise_impacto_regulatorio/cronologicos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AEB79" w14:textId="5D326324" w:rsidR="00982892" w:rsidRDefault="00F32377" w:rsidP="00F73D77">
    <w:pPr>
      <w:pStyle w:val="Encabezado"/>
      <w:tabs>
        <w:tab w:val="clear" w:pos="4252"/>
        <w:tab w:val="clear" w:pos="8504"/>
      </w:tabs>
      <w:jc w:val="center"/>
    </w:pPr>
    <w:r>
      <w:rPr>
        <w:noProof/>
        <w:lang w:val="es-UY" w:eastAsia="es-UY"/>
      </w:rPr>
      <w:drawing>
        <wp:inline distT="0" distB="0" distL="0" distR="0" wp14:anchorId="1F635F2C" wp14:editId="7D1C80C2">
          <wp:extent cx="122872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71525"/>
                  </a:xfrm>
                  <a:prstGeom prst="rect">
                    <a:avLst/>
                  </a:prstGeom>
                  <a:noFill/>
                  <a:ln>
                    <a:noFill/>
                  </a:ln>
                </pic:spPr>
              </pic:pic>
            </a:graphicData>
          </a:graphic>
        </wp:inline>
      </w:drawing>
    </w:r>
    <w:r w:rsidR="00F73D77">
      <w:t xml:space="preserve">       </w:t>
    </w:r>
    <w:r w:rsidR="00982892">
      <w:t xml:space="preserve"> </w:t>
    </w:r>
    <w:r w:rsidR="00AD4921">
      <w:t xml:space="preserve">   </w:t>
    </w:r>
    <w:r w:rsidR="00F73D77">
      <w:t xml:space="preserve"> </w:t>
    </w:r>
    <w:r w:rsidR="00A90774">
      <w:t xml:space="preserve">                                                </w:t>
    </w:r>
    <w:r w:rsidR="00AD4921">
      <w:t xml:space="preserve">   </w:t>
    </w:r>
    <w:r w:rsidR="00F73D77">
      <w:rPr>
        <w:noProof/>
      </w:rPr>
      <w:t xml:space="preserve">   </w:t>
    </w:r>
    <w:r w:rsidR="00AD4921">
      <w:rPr>
        <w:noProof/>
      </w:rPr>
      <w:t xml:space="preserve">      </w:t>
    </w:r>
    <w:r w:rsidR="00F73D77">
      <w:rPr>
        <w:noProof/>
      </w:rPr>
      <w:t xml:space="preserve">     </w:t>
    </w:r>
    <w:r>
      <w:rPr>
        <w:noProof/>
        <w:lang w:val="es-UY" w:eastAsia="es-UY"/>
      </w:rPr>
      <w:drawing>
        <wp:inline distT="0" distB="0" distL="0" distR="0" wp14:anchorId="34315699" wp14:editId="49250F2B">
          <wp:extent cx="1247775" cy="8096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809625"/>
                  </a:xfrm>
                  <a:prstGeom prst="rect">
                    <a:avLst/>
                  </a:prstGeom>
                  <a:noFill/>
                  <a:ln>
                    <a:noFill/>
                  </a:ln>
                </pic:spPr>
              </pic:pic>
            </a:graphicData>
          </a:graphic>
        </wp:inline>
      </w:drawing>
    </w:r>
  </w:p>
  <w:p w14:paraId="33085FD1" w14:textId="77777777" w:rsidR="00982892" w:rsidRDefault="009828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B2E41"/>
    <w:multiLevelType w:val="hybridMultilevel"/>
    <w:tmpl w:val="FFFFFFFF"/>
    <w:lvl w:ilvl="0" w:tplc="5EAAFE5C">
      <w:start w:val="1"/>
      <w:numFmt w:val="bullet"/>
      <w:lvlText w:val="-"/>
      <w:lvlJc w:val="left"/>
      <w:pPr>
        <w:ind w:left="720" w:hanging="360"/>
      </w:pPr>
      <w:rPr>
        <w:rFonts w:ascii="Arial" w:hAnsi="Arial" w:cs="Times New Roman" w:hint="default"/>
      </w:rPr>
    </w:lvl>
    <w:lvl w:ilvl="1" w:tplc="B4FA7DEC">
      <w:start w:val="1"/>
      <w:numFmt w:val="bullet"/>
      <w:lvlText w:val="o"/>
      <w:lvlJc w:val="left"/>
      <w:pPr>
        <w:ind w:left="1440" w:hanging="360"/>
      </w:pPr>
      <w:rPr>
        <w:rFonts w:ascii="Courier New" w:hAnsi="Courier New" w:cs="Times New Roman" w:hint="default"/>
      </w:rPr>
    </w:lvl>
    <w:lvl w:ilvl="2" w:tplc="52226D66">
      <w:start w:val="1"/>
      <w:numFmt w:val="bullet"/>
      <w:lvlText w:val=""/>
      <w:lvlJc w:val="left"/>
      <w:pPr>
        <w:ind w:left="2160" w:hanging="360"/>
      </w:pPr>
      <w:rPr>
        <w:rFonts w:ascii="Wingdings" w:hAnsi="Wingdings" w:hint="default"/>
      </w:rPr>
    </w:lvl>
    <w:lvl w:ilvl="3" w:tplc="8454F4F6">
      <w:start w:val="1"/>
      <w:numFmt w:val="bullet"/>
      <w:lvlText w:val=""/>
      <w:lvlJc w:val="left"/>
      <w:pPr>
        <w:ind w:left="2880" w:hanging="360"/>
      </w:pPr>
      <w:rPr>
        <w:rFonts w:ascii="Symbol" w:hAnsi="Symbol" w:hint="default"/>
      </w:rPr>
    </w:lvl>
    <w:lvl w:ilvl="4" w:tplc="11EE2CF6">
      <w:start w:val="1"/>
      <w:numFmt w:val="bullet"/>
      <w:lvlText w:val="o"/>
      <w:lvlJc w:val="left"/>
      <w:pPr>
        <w:ind w:left="3600" w:hanging="360"/>
      </w:pPr>
      <w:rPr>
        <w:rFonts w:ascii="Courier New" w:hAnsi="Courier New" w:cs="Times New Roman" w:hint="default"/>
      </w:rPr>
    </w:lvl>
    <w:lvl w:ilvl="5" w:tplc="214A91D8">
      <w:start w:val="1"/>
      <w:numFmt w:val="bullet"/>
      <w:lvlText w:val=""/>
      <w:lvlJc w:val="left"/>
      <w:pPr>
        <w:ind w:left="4320" w:hanging="360"/>
      </w:pPr>
      <w:rPr>
        <w:rFonts w:ascii="Wingdings" w:hAnsi="Wingdings" w:hint="default"/>
      </w:rPr>
    </w:lvl>
    <w:lvl w:ilvl="6" w:tplc="97F2B236">
      <w:start w:val="1"/>
      <w:numFmt w:val="bullet"/>
      <w:lvlText w:val=""/>
      <w:lvlJc w:val="left"/>
      <w:pPr>
        <w:ind w:left="5040" w:hanging="360"/>
      </w:pPr>
      <w:rPr>
        <w:rFonts w:ascii="Symbol" w:hAnsi="Symbol" w:hint="default"/>
      </w:rPr>
    </w:lvl>
    <w:lvl w:ilvl="7" w:tplc="341A413E">
      <w:start w:val="1"/>
      <w:numFmt w:val="bullet"/>
      <w:lvlText w:val="o"/>
      <w:lvlJc w:val="left"/>
      <w:pPr>
        <w:ind w:left="5760" w:hanging="360"/>
      </w:pPr>
      <w:rPr>
        <w:rFonts w:ascii="Courier New" w:hAnsi="Courier New" w:cs="Times New Roman" w:hint="default"/>
      </w:rPr>
    </w:lvl>
    <w:lvl w:ilvl="8" w:tplc="47388E4C">
      <w:start w:val="1"/>
      <w:numFmt w:val="bullet"/>
      <w:lvlText w:val=""/>
      <w:lvlJc w:val="left"/>
      <w:pPr>
        <w:ind w:left="6480" w:hanging="360"/>
      </w:pPr>
      <w:rPr>
        <w:rFonts w:ascii="Wingdings" w:hAnsi="Wingdings" w:hint="default"/>
      </w:rPr>
    </w:lvl>
  </w:abstractNum>
  <w:abstractNum w:abstractNumId="1" w15:restartNumberingAfterBreak="0">
    <w:nsid w:val="29AF4B47"/>
    <w:multiLevelType w:val="hybridMultilevel"/>
    <w:tmpl w:val="2D1AB6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B422FC6"/>
    <w:multiLevelType w:val="hybridMultilevel"/>
    <w:tmpl w:val="D6A288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D9265AF"/>
    <w:multiLevelType w:val="hybridMultilevel"/>
    <w:tmpl w:val="80022F9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30E74CA7"/>
    <w:multiLevelType w:val="multilevel"/>
    <w:tmpl w:val="1506ED8A"/>
    <w:lvl w:ilvl="0">
      <w:start w:val="1"/>
      <w:numFmt w:val="decimal"/>
      <w:pStyle w:val="Ttulo"/>
      <w:lvlText w:val="%1."/>
      <w:lvlJc w:val="left"/>
      <w:pPr>
        <w:ind w:left="360" w:hanging="360"/>
      </w:pPr>
      <w:rPr>
        <w:rFonts w:ascii="Arial" w:hAnsi="Arial" w:cs="Arial"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0E313D"/>
    <w:multiLevelType w:val="hybridMultilevel"/>
    <w:tmpl w:val="24FA00C2"/>
    <w:lvl w:ilvl="0" w:tplc="6A827F6A">
      <w:start w:val="1"/>
      <w:numFmt w:val="bullet"/>
      <w:lvlText w:val="o"/>
      <w:lvlJc w:val="left"/>
      <w:pPr>
        <w:ind w:left="720" w:hanging="360"/>
      </w:pPr>
      <w:rPr>
        <w:rFonts w:ascii="Courier New" w:hAnsi="Courier New" w:cs="Courier New" w:hint="default"/>
        <w:b/>
        <w:bCs/>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3DF52F00"/>
    <w:multiLevelType w:val="hybridMultilevel"/>
    <w:tmpl w:val="A48C0E56"/>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3F794680"/>
    <w:multiLevelType w:val="hybridMultilevel"/>
    <w:tmpl w:val="D376E7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B4680F"/>
    <w:multiLevelType w:val="hybridMultilevel"/>
    <w:tmpl w:val="9CE8E4A8"/>
    <w:lvl w:ilvl="0" w:tplc="380A0013">
      <w:start w:val="1"/>
      <w:numFmt w:val="upperRoman"/>
      <w:lvlText w:val="%1."/>
      <w:lvlJc w:val="righ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44E432AD"/>
    <w:multiLevelType w:val="hybridMultilevel"/>
    <w:tmpl w:val="956E3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5F767FE"/>
    <w:multiLevelType w:val="hybridMultilevel"/>
    <w:tmpl w:val="85A20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1905AE8"/>
    <w:multiLevelType w:val="hybridMultilevel"/>
    <w:tmpl w:val="391C7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21958F4"/>
    <w:multiLevelType w:val="hybridMultilevel"/>
    <w:tmpl w:val="8264BE0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68FD0BFF"/>
    <w:multiLevelType w:val="hybridMultilevel"/>
    <w:tmpl w:val="5D0E6504"/>
    <w:lvl w:ilvl="0" w:tplc="AC8A9FF6">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B486CF4"/>
    <w:multiLevelType w:val="hybridMultilevel"/>
    <w:tmpl w:val="454A791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4"/>
  </w:num>
  <w:num w:numId="2">
    <w:abstractNumId w:val="7"/>
  </w:num>
  <w:num w:numId="3">
    <w:abstractNumId w:val="4"/>
  </w:num>
  <w:num w:numId="4">
    <w:abstractNumId w:val="4"/>
  </w:num>
  <w:num w:numId="5">
    <w:abstractNumId w:val="4"/>
  </w:num>
  <w:num w:numId="6">
    <w:abstractNumId w:val="4"/>
  </w:num>
  <w:num w:numId="7">
    <w:abstractNumId w:val="4"/>
  </w:num>
  <w:num w:numId="8">
    <w:abstractNumId w:val="4"/>
  </w:num>
  <w:num w:numId="9">
    <w:abstractNumId w:val="2"/>
  </w:num>
  <w:num w:numId="10">
    <w:abstractNumId w:val="11"/>
  </w:num>
  <w:num w:numId="11">
    <w:abstractNumId w:val="4"/>
  </w:num>
  <w:num w:numId="12">
    <w:abstractNumId w:val="5"/>
  </w:num>
  <w:num w:numId="13">
    <w:abstractNumId w:val="3"/>
  </w:num>
  <w:num w:numId="14">
    <w:abstractNumId w:val="14"/>
  </w:num>
  <w:num w:numId="15">
    <w:abstractNumId w:val="0"/>
  </w:num>
  <w:num w:numId="16">
    <w:abstractNumId w:val="9"/>
  </w:num>
  <w:num w:numId="17">
    <w:abstractNumId w:val="1"/>
  </w:num>
  <w:num w:numId="18">
    <w:abstractNumId w:val="10"/>
  </w:num>
  <w:num w:numId="19">
    <w:abstractNumId w:val="12"/>
  </w:num>
  <w:num w:numId="20">
    <w:abstractNumId w:val="13"/>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6E"/>
    <w:rsid w:val="00016D53"/>
    <w:rsid w:val="00025182"/>
    <w:rsid w:val="000303E3"/>
    <w:rsid w:val="000328FB"/>
    <w:rsid w:val="00036C56"/>
    <w:rsid w:val="00041F91"/>
    <w:rsid w:val="00050F1E"/>
    <w:rsid w:val="0007487B"/>
    <w:rsid w:val="00075BB1"/>
    <w:rsid w:val="000822BE"/>
    <w:rsid w:val="00086294"/>
    <w:rsid w:val="00097662"/>
    <w:rsid w:val="000A0ACE"/>
    <w:rsid w:val="000A0C96"/>
    <w:rsid w:val="000A34B5"/>
    <w:rsid w:val="000B07DA"/>
    <w:rsid w:val="000F43D9"/>
    <w:rsid w:val="00100948"/>
    <w:rsid w:val="00122854"/>
    <w:rsid w:val="00134BF6"/>
    <w:rsid w:val="00151831"/>
    <w:rsid w:val="00151FDC"/>
    <w:rsid w:val="001E577C"/>
    <w:rsid w:val="002149D2"/>
    <w:rsid w:val="002163D9"/>
    <w:rsid w:val="00237779"/>
    <w:rsid w:val="00237BB0"/>
    <w:rsid w:val="00256D6E"/>
    <w:rsid w:val="00263D6C"/>
    <w:rsid w:val="002721FD"/>
    <w:rsid w:val="0028019F"/>
    <w:rsid w:val="00284D25"/>
    <w:rsid w:val="00286A18"/>
    <w:rsid w:val="002E56F3"/>
    <w:rsid w:val="002F0AD7"/>
    <w:rsid w:val="002F17EB"/>
    <w:rsid w:val="00301D85"/>
    <w:rsid w:val="003053A0"/>
    <w:rsid w:val="00312992"/>
    <w:rsid w:val="00326790"/>
    <w:rsid w:val="003318BF"/>
    <w:rsid w:val="00335552"/>
    <w:rsid w:val="00355164"/>
    <w:rsid w:val="00364156"/>
    <w:rsid w:val="00384C44"/>
    <w:rsid w:val="0039794E"/>
    <w:rsid w:val="003A6015"/>
    <w:rsid w:val="003B3DED"/>
    <w:rsid w:val="003D1CEF"/>
    <w:rsid w:val="003D7389"/>
    <w:rsid w:val="003F3E68"/>
    <w:rsid w:val="0040431A"/>
    <w:rsid w:val="0040531C"/>
    <w:rsid w:val="00405933"/>
    <w:rsid w:val="00410050"/>
    <w:rsid w:val="00411386"/>
    <w:rsid w:val="00435251"/>
    <w:rsid w:val="00445C25"/>
    <w:rsid w:val="00446120"/>
    <w:rsid w:val="00452E83"/>
    <w:rsid w:val="00457A54"/>
    <w:rsid w:val="00460EFC"/>
    <w:rsid w:val="00465876"/>
    <w:rsid w:val="0048300C"/>
    <w:rsid w:val="004835FE"/>
    <w:rsid w:val="00497464"/>
    <w:rsid w:val="004B4E6D"/>
    <w:rsid w:val="004C0599"/>
    <w:rsid w:val="004D2B57"/>
    <w:rsid w:val="004F2031"/>
    <w:rsid w:val="00502F6B"/>
    <w:rsid w:val="00512915"/>
    <w:rsid w:val="005170CE"/>
    <w:rsid w:val="0052008B"/>
    <w:rsid w:val="005236F0"/>
    <w:rsid w:val="00566631"/>
    <w:rsid w:val="00573D81"/>
    <w:rsid w:val="005D07C6"/>
    <w:rsid w:val="005E1461"/>
    <w:rsid w:val="0060270B"/>
    <w:rsid w:val="00614379"/>
    <w:rsid w:val="00617E25"/>
    <w:rsid w:val="0063386F"/>
    <w:rsid w:val="0064554A"/>
    <w:rsid w:val="00660637"/>
    <w:rsid w:val="006865FA"/>
    <w:rsid w:val="00690D2B"/>
    <w:rsid w:val="006A7742"/>
    <w:rsid w:val="006B1590"/>
    <w:rsid w:val="006B5AB7"/>
    <w:rsid w:val="006D5B4C"/>
    <w:rsid w:val="006E00B0"/>
    <w:rsid w:val="006F332C"/>
    <w:rsid w:val="0070597B"/>
    <w:rsid w:val="007109D1"/>
    <w:rsid w:val="00714AB9"/>
    <w:rsid w:val="0073172D"/>
    <w:rsid w:val="00750F94"/>
    <w:rsid w:val="00755A32"/>
    <w:rsid w:val="0077111E"/>
    <w:rsid w:val="00777BF1"/>
    <w:rsid w:val="00777E39"/>
    <w:rsid w:val="007D40F0"/>
    <w:rsid w:val="007D590C"/>
    <w:rsid w:val="007F166E"/>
    <w:rsid w:val="008046D0"/>
    <w:rsid w:val="00810C19"/>
    <w:rsid w:val="0081137B"/>
    <w:rsid w:val="00820AA9"/>
    <w:rsid w:val="0084350B"/>
    <w:rsid w:val="00843725"/>
    <w:rsid w:val="00865402"/>
    <w:rsid w:val="008754F0"/>
    <w:rsid w:val="008C2EDB"/>
    <w:rsid w:val="008C334E"/>
    <w:rsid w:val="008C7BA8"/>
    <w:rsid w:val="008F1202"/>
    <w:rsid w:val="0091137C"/>
    <w:rsid w:val="00917710"/>
    <w:rsid w:val="009516C4"/>
    <w:rsid w:val="00952A95"/>
    <w:rsid w:val="00956D8F"/>
    <w:rsid w:val="009716E4"/>
    <w:rsid w:val="009749A7"/>
    <w:rsid w:val="00982892"/>
    <w:rsid w:val="00985000"/>
    <w:rsid w:val="009A5B21"/>
    <w:rsid w:val="009C6831"/>
    <w:rsid w:val="00A0205E"/>
    <w:rsid w:val="00A32554"/>
    <w:rsid w:val="00A42D84"/>
    <w:rsid w:val="00A528D4"/>
    <w:rsid w:val="00A6404D"/>
    <w:rsid w:val="00A70A98"/>
    <w:rsid w:val="00A766FF"/>
    <w:rsid w:val="00A77F6B"/>
    <w:rsid w:val="00A90774"/>
    <w:rsid w:val="00A94DA2"/>
    <w:rsid w:val="00AB3C2A"/>
    <w:rsid w:val="00AB7D1A"/>
    <w:rsid w:val="00AC2451"/>
    <w:rsid w:val="00AD4921"/>
    <w:rsid w:val="00B01E19"/>
    <w:rsid w:val="00B35F64"/>
    <w:rsid w:val="00B36F29"/>
    <w:rsid w:val="00B956EF"/>
    <w:rsid w:val="00BB3EBE"/>
    <w:rsid w:val="00BC75D9"/>
    <w:rsid w:val="00BD4A63"/>
    <w:rsid w:val="00BD4E01"/>
    <w:rsid w:val="00BD6B12"/>
    <w:rsid w:val="00BD7C0D"/>
    <w:rsid w:val="00BE2521"/>
    <w:rsid w:val="00C071B1"/>
    <w:rsid w:val="00C37A79"/>
    <w:rsid w:val="00C458BD"/>
    <w:rsid w:val="00C459DF"/>
    <w:rsid w:val="00C571A3"/>
    <w:rsid w:val="00C6443F"/>
    <w:rsid w:val="00C66309"/>
    <w:rsid w:val="00C833F7"/>
    <w:rsid w:val="00C83D10"/>
    <w:rsid w:val="00C900C5"/>
    <w:rsid w:val="00C93701"/>
    <w:rsid w:val="00CB0FE0"/>
    <w:rsid w:val="00CB1A6F"/>
    <w:rsid w:val="00CD73FC"/>
    <w:rsid w:val="00CE4B8F"/>
    <w:rsid w:val="00CE5B9C"/>
    <w:rsid w:val="00CE7231"/>
    <w:rsid w:val="00D04CCA"/>
    <w:rsid w:val="00D14137"/>
    <w:rsid w:val="00D3174D"/>
    <w:rsid w:val="00D8646E"/>
    <w:rsid w:val="00D92ACB"/>
    <w:rsid w:val="00DA2F7F"/>
    <w:rsid w:val="00DC46B0"/>
    <w:rsid w:val="00DD047A"/>
    <w:rsid w:val="00DD646C"/>
    <w:rsid w:val="00DE5540"/>
    <w:rsid w:val="00DF3CF8"/>
    <w:rsid w:val="00DF7F5A"/>
    <w:rsid w:val="00E14D63"/>
    <w:rsid w:val="00E54EC2"/>
    <w:rsid w:val="00E60B7C"/>
    <w:rsid w:val="00E75EB9"/>
    <w:rsid w:val="00E80842"/>
    <w:rsid w:val="00E927CE"/>
    <w:rsid w:val="00E93ECF"/>
    <w:rsid w:val="00EA0A7F"/>
    <w:rsid w:val="00EB790F"/>
    <w:rsid w:val="00EC713B"/>
    <w:rsid w:val="00EE26A4"/>
    <w:rsid w:val="00F05A16"/>
    <w:rsid w:val="00F10528"/>
    <w:rsid w:val="00F168D6"/>
    <w:rsid w:val="00F32377"/>
    <w:rsid w:val="00F36B3F"/>
    <w:rsid w:val="00F540D0"/>
    <w:rsid w:val="00F723F6"/>
    <w:rsid w:val="00F7388C"/>
    <w:rsid w:val="00F73D77"/>
    <w:rsid w:val="00F749D2"/>
    <w:rsid w:val="00F84754"/>
    <w:rsid w:val="00F92ACF"/>
    <w:rsid w:val="00FB6259"/>
    <w:rsid w:val="00FC0F61"/>
    <w:rsid w:val="00FE274C"/>
    <w:rsid w:val="00FE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BED5FD"/>
  <w15:docId w15:val="{3E01850E-BFE7-4910-8BCE-2F0A3A9C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540"/>
    <w:rPr>
      <w:rFonts w:ascii="Arial" w:hAnsi="Arial"/>
      <w:sz w:val="24"/>
      <w:lang w:val="es-ES_tradnl" w:eastAsia="es-ES"/>
    </w:rPr>
  </w:style>
  <w:style w:type="paragraph" w:styleId="Ttulo1">
    <w:name w:val="heading 1"/>
    <w:basedOn w:val="Normal"/>
    <w:next w:val="Normal"/>
    <w:qFormat/>
    <w:pPr>
      <w:keepNext/>
      <w:widowControl w:val="0"/>
      <w:tabs>
        <w:tab w:val="left" w:pos="5040"/>
      </w:tabs>
      <w:jc w:val="both"/>
      <w:outlineLvl w:val="0"/>
    </w:pPr>
    <w:rPr>
      <w:b/>
      <w:color w:val="000000"/>
    </w:rPr>
  </w:style>
  <w:style w:type="paragraph" w:styleId="Ttulo2">
    <w:name w:val="heading 2"/>
    <w:basedOn w:val="Normal"/>
    <w:next w:val="Normal"/>
    <w:qFormat/>
    <w:pPr>
      <w:keepNext/>
      <w:outlineLvl w:val="1"/>
    </w:pPr>
    <w:rPr>
      <w:rFonts w:ascii="Times New Roman" w:hAnsi="Times New Roman"/>
      <w:lang w:val="es-ES"/>
    </w:rPr>
  </w:style>
  <w:style w:type="paragraph" w:styleId="Ttulo3">
    <w:name w:val="heading 3"/>
    <w:basedOn w:val="Normal"/>
    <w:next w:val="Normal"/>
    <w:qFormat/>
    <w:pPr>
      <w:keepNext/>
      <w:widowControl w:val="0"/>
      <w:jc w:val="center"/>
      <w:outlineLvl w:val="2"/>
    </w:pPr>
    <w:rPr>
      <w:b/>
    </w:rPr>
  </w:style>
  <w:style w:type="paragraph" w:styleId="Ttulo4">
    <w:name w:val="heading 4"/>
    <w:basedOn w:val="Normal"/>
    <w:next w:val="Normal"/>
    <w:qFormat/>
    <w:pPr>
      <w:keepNext/>
      <w:widowControl w:val="0"/>
      <w:tabs>
        <w:tab w:val="center" w:pos="8496"/>
      </w:tabs>
      <w:jc w:val="both"/>
      <w:outlineLvl w:val="3"/>
    </w:pPr>
    <w:rPr>
      <w:b/>
    </w:rPr>
  </w:style>
  <w:style w:type="paragraph" w:styleId="Ttulo9">
    <w:name w:val="heading 9"/>
    <w:basedOn w:val="Normal"/>
    <w:next w:val="Normal"/>
    <w:qFormat/>
    <w:rsid w:val="001E577C"/>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val="0"/>
      <w:jc w:val="both"/>
    </w:pPr>
    <w:rPr>
      <w:color w:val="000000"/>
    </w:rPr>
  </w:style>
  <w:style w:type="paragraph" w:customStyle="1" w:styleId="Corpodetexto21">
    <w:name w:val="Corpo de texto 21"/>
    <w:basedOn w:val="Normal"/>
    <w:pPr>
      <w:widowControl w:val="0"/>
      <w:tabs>
        <w:tab w:val="left" w:pos="720"/>
      </w:tabs>
      <w:ind w:left="720" w:hanging="720"/>
      <w:jc w:val="both"/>
    </w:pPr>
    <w:rPr>
      <w:color w:val="000000"/>
    </w:rPr>
  </w:style>
  <w:style w:type="paragraph" w:styleId="Textoindependiente2">
    <w:name w:val="Body Text 2"/>
    <w:basedOn w:val="Normal"/>
    <w:pPr>
      <w:spacing w:after="120" w:line="480" w:lineRule="auto"/>
    </w:pPr>
    <w:rPr>
      <w:lang w:val="es-PY"/>
    </w:rPr>
  </w:style>
  <w:style w:type="paragraph" w:styleId="Encabezado">
    <w:name w:val="header"/>
    <w:basedOn w:val="Normal"/>
    <w:pPr>
      <w:tabs>
        <w:tab w:val="center" w:pos="4252"/>
        <w:tab w:val="right" w:pos="8504"/>
      </w:tabs>
    </w:pPr>
    <w:rPr>
      <w:lang w:val="es-PY"/>
    </w:rPr>
  </w:style>
  <w:style w:type="paragraph" w:customStyle="1" w:styleId="a">
    <w:basedOn w:val="Normal"/>
    <w:next w:val="Sangradetextonormal"/>
    <w:pPr>
      <w:spacing w:after="120"/>
      <w:ind w:left="283"/>
    </w:pPr>
    <w:rPr>
      <w:lang w:val="es-PY"/>
    </w:rPr>
  </w:style>
  <w:style w:type="character" w:styleId="Nmerodepgina">
    <w:name w:val="page number"/>
    <w:rPr>
      <w:sz w:val="20"/>
    </w:rPr>
  </w:style>
  <w:style w:type="paragraph" w:styleId="Piedepgina">
    <w:name w:val="footer"/>
    <w:basedOn w:val="Normal"/>
    <w:link w:val="PiedepginaCar"/>
    <w:uiPriority w:val="99"/>
    <w:pPr>
      <w:widowControl w:val="0"/>
      <w:tabs>
        <w:tab w:val="center" w:pos="4419"/>
        <w:tab w:val="right" w:pos="8838"/>
      </w:tabs>
    </w:pPr>
    <w:rPr>
      <w:sz w:val="20"/>
    </w:rPr>
  </w:style>
  <w:style w:type="paragraph" w:styleId="Sangra2detindependiente">
    <w:name w:val="Body Text Indent 2"/>
    <w:basedOn w:val="Normal"/>
    <w:pPr>
      <w:tabs>
        <w:tab w:val="left" w:pos="5040"/>
      </w:tabs>
      <w:ind w:left="142"/>
      <w:jc w:val="both"/>
    </w:pPr>
    <w:rPr>
      <w:rFonts w:cs="Arial"/>
    </w:rPr>
  </w:style>
  <w:style w:type="paragraph" w:styleId="Textoindependiente3">
    <w:name w:val="Body Text 3"/>
    <w:basedOn w:val="Normal"/>
    <w:pPr>
      <w:jc w:val="both"/>
    </w:pPr>
  </w:style>
  <w:style w:type="paragraph" w:customStyle="1" w:styleId="BodyText21">
    <w:name w:val="Body Text 21"/>
    <w:basedOn w:val="Normal"/>
    <w:pPr>
      <w:widowControl w:val="0"/>
      <w:jc w:val="both"/>
    </w:pPr>
  </w:style>
  <w:style w:type="paragraph" w:customStyle="1" w:styleId="Corpodetexto31">
    <w:name w:val="Corpo de texto 31"/>
    <w:basedOn w:val="Normal"/>
    <w:pPr>
      <w:widowControl w:val="0"/>
      <w:tabs>
        <w:tab w:val="left" w:pos="5040"/>
      </w:tabs>
      <w:jc w:val="both"/>
    </w:pPr>
    <w:rPr>
      <w:b/>
    </w:rPr>
  </w:style>
  <w:style w:type="paragraph" w:styleId="Sangra3detindependiente">
    <w:name w:val="Body Text Indent 3"/>
    <w:basedOn w:val="Normal"/>
    <w:pPr>
      <w:tabs>
        <w:tab w:val="left" w:pos="5040"/>
      </w:tabs>
      <w:ind w:left="2160" w:hanging="2160"/>
      <w:jc w:val="both"/>
    </w:pPr>
    <w:rPr>
      <w:lang w:val="es-UY"/>
    </w:rPr>
  </w:style>
  <w:style w:type="paragraph" w:styleId="Sangradetextonormal">
    <w:name w:val="Body Text Indent"/>
    <w:basedOn w:val="Normal"/>
    <w:pPr>
      <w:spacing w:after="120"/>
      <w:ind w:left="283"/>
    </w:pPr>
  </w:style>
  <w:style w:type="paragraph" w:customStyle="1" w:styleId="Textodeglobo1">
    <w:name w:val="Texto de globo1"/>
    <w:basedOn w:val="Normal"/>
    <w:semiHidden/>
    <w:rPr>
      <w:rFonts w:ascii="Tahoma" w:hAnsi="Tahoma" w:cs="Tahoma"/>
      <w:sz w:val="16"/>
      <w:szCs w:val="16"/>
    </w:rPr>
  </w:style>
  <w:style w:type="table" w:styleId="Tablaconcuadrcula">
    <w:name w:val="Table Grid"/>
    <w:basedOn w:val="Tablanormal"/>
    <w:rsid w:val="00F1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7109D1"/>
    <w:pPr>
      <w:numPr>
        <w:numId w:val="1"/>
      </w:numPr>
      <w:jc w:val="both"/>
    </w:pPr>
    <w:rPr>
      <w:rFonts w:cs="Arial"/>
      <w:b/>
      <w:szCs w:val="24"/>
      <w:lang w:val="pt-BR" w:eastAsia="pt-BR"/>
    </w:rPr>
  </w:style>
  <w:style w:type="character" w:customStyle="1" w:styleId="TtuloCar">
    <w:name w:val="Título Car"/>
    <w:link w:val="Ttulo"/>
    <w:rsid w:val="007109D1"/>
    <w:rPr>
      <w:rFonts w:ascii="Arial" w:hAnsi="Arial" w:cs="Arial"/>
      <w:b/>
      <w:sz w:val="24"/>
      <w:szCs w:val="24"/>
      <w:lang w:val="pt-BR" w:eastAsia="pt-BR"/>
    </w:rPr>
  </w:style>
  <w:style w:type="paragraph" w:styleId="Prrafodelista">
    <w:name w:val="List Paragraph"/>
    <w:basedOn w:val="Normal"/>
    <w:uiPriority w:val="34"/>
    <w:qFormat/>
    <w:rsid w:val="00286A18"/>
    <w:pPr>
      <w:spacing w:after="200" w:line="276" w:lineRule="auto"/>
      <w:ind w:left="720"/>
      <w:contextualSpacing/>
    </w:pPr>
    <w:rPr>
      <w:rFonts w:ascii="Calibri" w:eastAsia="Calibri" w:hAnsi="Calibri"/>
      <w:sz w:val="22"/>
      <w:szCs w:val="22"/>
      <w:lang w:val="es-PY" w:eastAsia="en-US"/>
    </w:rPr>
  </w:style>
  <w:style w:type="paragraph" w:customStyle="1" w:styleId="listparagraph">
    <w:name w:val="listparagraph"/>
    <w:basedOn w:val="Normal"/>
    <w:rsid w:val="00B36F29"/>
    <w:rPr>
      <w:rFonts w:ascii="Calibri" w:eastAsia="Calibri" w:hAnsi="Calibri" w:cs="Calibri"/>
      <w:sz w:val="22"/>
      <w:szCs w:val="22"/>
      <w:lang w:val="pt-BR" w:eastAsia="pt-BR"/>
    </w:rPr>
  </w:style>
  <w:style w:type="paragraph" w:styleId="NormalWeb">
    <w:name w:val="Normal (Web)"/>
    <w:basedOn w:val="Normal"/>
    <w:uiPriority w:val="99"/>
    <w:unhideWhenUsed/>
    <w:rsid w:val="00263D6C"/>
    <w:pPr>
      <w:spacing w:before="100" w:beforeAutospacing="1" w:after="100" w:afterAutospacing="1"/>
    </w:pPr>
    <w:rPr>
      <w:rFonts w:ascii="Times New Roman" w:hAnsi="Times New Roman"/>
      <w:szCs w:val="24"/>
      <w:lang w:val="es-UY" w:eastAsia="es-UY"/>
    </w:rPr>
  </w:style>
  <w:style w:type="paragraph" w:styleId="HTMLconformatoprevio">
    <w:name w:val="HTML Preformatted"/>
    <w:basedOn w:val="Normal"/>
    <w:link w:val="HTMLconformatoprevioCar"/>
    <w:uiPriority w:val="99"/>
    <w:semiHidden/>
    <w:unhideWhenUsed/>
    <w:rsid w:val="00263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UY" w:eastAsia="es-UY"/>
    </w:rPr>
  </w:style>
  <w:style w:type="character" w:customStyle="1" w:styleId="HTMLconformatoprevioCar">
    <w:name w:val="HTML con formato previo Car"/>
    <w:basedOn w:val="Fuentedeprrafopredeter"/>
    <w:link w:val="HTMLconformatoprevio"/>
    <w:uiPriority w:val="99"/>
    <w:semiHidden/>
    <w:rsid w:val="00263D6C"/>
    <w:rPr>
      <w:rFonts w:ascii="Courier New" w:hAnsi="Courier New" w:cs="Courier New"/>
      <w:lang w:val="es-UY" w:eastAsia="es-UY"/>
    </w:rPr>
  </w:style>
  <w:style w:type="character" w:styleId="Hipervnculo">
    <w:name w:val="Hyperlink"/>
    <w:basedOn w:val="Fuentedeprrafopredeter"/>
    <w:uiPriority w:val="99"/>
    <w:unhideWhenUsed/>
    <w:rsid w:val="00263D6C"/>
    <w:rPr>
      <w:color w:val="0563C1" w:themeColor="hyperlink"/>
      <w:u w:val="single"/>
    </w:rPr>
  </w:style>
  <w:style w:type="paragraph" w:styleId="Textonotapie">
    <w:name w:val="footnote text"/>
    <w:basedOn w:val="Normal"/>
    <w:link w:val="TextonotapieCar"/>
    <w:uiPriority w:val="99"/>
    <w:unhideWhenUsed/>
    <w:rsid w:val="00263D6C"/>
    <w:rPr>
      <w:sz w:val="20"/>
    </w:rPr>
  </w:style>
  <w:style w:type="character" w:customStyle="1" w:styleId="TextonotapieCar">
    <w:name w:val="Texto nota pie Car"/>
    <w:basedOn w:val="Fuentedeprrafopredeter"/>
    <w:link w:val="Textonotapie"/>
    <w:uiPriority w:val="99"/>
    <w:rsid w:val="00263D6C"/>
    <w:rPr>
      <w:rFonts w:ascii="Arial" w:hAnsi="Arial"/>
      <w:lang w:val="es-ES_tradnl" w:eastAsia="es-ES"/>
    </w:rPr>
  </w:style>
  <w:style w:type="character" w:styleId="Refdenotaalpie">
    <w:name w:val="footnote reference"/>
    <w:basedOn w:val="Fuentedeprrafopredeter"/>
    <w:uiPriority w:val="99"/>
    <w:semiHidden/>
    <w:unhideWhenUsed/>
    <w:rsid w:val="00263D6C"/>
    <w:rPr>
      <w:vertAlign w:val="superscript"/>
    </w:rPr>
  </w:style>
  <w:style w:type="character" w:customStyle="1" w:styleId="PiedepginaCar">
    <w:name w:val="Pie de página Car"/>
    <w:basedOn w:val="Fuentedeprrafopredeter"/>
    <w:link w:val="Piedepgina"/>
    <w:uiPriority w:val="99"/>
    <w:rsid w:val="0048300C"/>
    <w:rPr>
      <w:rFonts w:ascii="Arial" w:hAnsi="Arial"/>
      <w:lang w:val="es-ES_tradnl" w:eastAsia="es-ES"/>
    </w:rPr>
  </w:style>
  <w:style w:type="paragraph" w:customStyle="1" w:styleId="titulogralmaxcolor">
    <w:name w:val="titulo gral max color"/>
    <w:basedOn w:val="Normal"/>
    <w:link w:val="titulogralmaxcolorCar"/>
    <w:uiPriority w:val="99"/>
    <w:rsid w:val="00445C25"/>
    <w:pPr>
      <w:spacing w:after="120"/>
      <w:jc w:val="center"/>
    </w:pPr>
    <w:rPr>
      <w:rFonts w:ascii="Le Monde Livre Std" w:eastAsia="Calibri" w:hAnsi="Le Monde Livre Std"/>
      <w:color w:val="1C267D"/>
      <w:sz w:val="48"/>
      <w:lang w:val="es-ES" w:eastAsia="en-US"/>
    </w:rPr>
  </w:style>
  <w:style w:type="character" w:customStyle="1" w:styleId="titulogralmaxcolorCar">
    <w:name w:val="titulo gral max color Car"/>
    <w:link w:val="titulogralmaxcolor"/>
    <w:uiPriority w:val="99"/>
    <w:locked/>
    <w:rsid w:val="00445C25"/>
    <w:rPr>
      <w:rFonts w:ascii="Le Monde Livre Std" w:eastAsia="Calibri" w:hAnsi="Le Monde Livre Std"/>
      <w:color w:val="1C267D"/>
      <w:sz w:val="48"/>
      <w:lang w:val="es-ES" w:eastAsia="en-US"/>
    </w:rPr>
  </w:style>
  <w:style w:type="paragraph" w:styleId="Textodeglobo">
    <w:name w:val="Balloon Text"/>
    <w:basedOn w:val="Normal"/>
    <w:link w:val="TextodegloboCar"/>
    <w:uiPriority w:val="99"/>
    <w:semiHidden/>
    <w:unhideWhenUsed/>
    <w:rsid w:val="00384C44"/>
    <w:rPr>
      <w:rFonts w:ascii="Tahoma" w:hAnsi="Tahoma" w:cs="Tahoma"/>
      <w:sz w:val="16"/>
      <w:szCs w:val="16"/>
    </w:rPr>
  </w:style>
  <w:style w:type="character" w:customStyle="1" w:styleId="TextodegloboCar">
    <w:name w:val="Texto de globo Car"/>
    <w:basedOn w:val="Fuentedeprrafopredeter"/>
    <w:link w:val="Textodeglobo"/>
    <w:uiPriority w:val="99"/>
    <w:semiHidden/>
    <w:rsid w:val="00384C44"/>
    <w:rPr>
      <w:rFonts w:ascii="Tahoma" w:hAnsi="Tahoma" w:cs="Tahoma"/>
      <w:sz w:val="16"/>
      <w:szCs w:val="16"/>
      <w:lang w:val="es-ES_tradnl" w:eastAsia="es-ES"/>
    </w:rPr>
  </w:style>
  <w:style w:type="character" w:styleId="Refdecomentario">
    <w:name w:val="annotation reference"/>
    <w:basedOn w:val="Fuentedeprrafopredeter"/>
    <w:uiPriority w:val="99"/>
    <w:semiHidden/>
    <w:unhideWhenUsed/>
    <w:rsid w:val="00452E83"/>
    <w:rPr>
      <w:sz w:val="16"/>
      <w:szCs w:val="16"/>
    </w:rPr>
  </w:style>
  <w:style w:type="paragraph" w:styleId="Textocomentario">
    <w:name w:val="annotation text"/>
    <w:basedOn w:val="Normal"/>
    <w:link w:val="TextocomentarioCar"/>
    <w:uiPriority w:val="99"/>
    <w:unhideWhenUsed/>
    <w:rsid w:val="00452E83"/>
    <w:rPr>
      <w:rFonts w:ascii="Times New Roman" w:eastAsiaTheme="minorHAnsi" w:hAnsi="Times New Roman" w:cstheme="minorBidi"/>
      <w:sz w:val="20"/>
      <w:lang w:val="pt-BR" w:eastAsia="en-US"/>
    </w:rPr>
  </w:style>
  <w:style w:type="character" w:customStyle="1" w:styleId="TextocomentarioCar">
    <w:name w:val="Texto comentario Car"/>
    <w:basedOn w:val="Fuentedeprrafopredeter"/>
    <w:link w:val="Textocomentario"/>
    <w:uiPriority w:val="99"/>
    <w:rsid w:val="00452E83"/>
    <w:rPr>
      <w:rFonts w:eastAsiaTheme="minorHAnsi" w:cstheme="minorBidi"/>
      <w:lang w:eastAsia="en-US"/>
    </w:rPr>
  </w:style>
  <w:style w:type="paragraph" w:customStyle="1" w:styleId="Default">
    <w:name w:val="Default"/>
    <w:rsid w:val="006865FA"/>
    <w:pPr>
      <w:autoSpaceDE w:val="0"/>
      <w:autoSpaceDN w:val="0"/>
      <w:adjustRightInd w:val="0"/>
    </w:pPr>
    <w:rPr>
      <w:rFonts w:ascii="BaskervilleT" w:eastAsiaTheme="minorHAnsi" w:hAnsi="BaskervilleT" w:cs="BaskervilleT"/>
      <w:color w:val="000000"/>
      <w:sz w:val="24"/>
      <w:szCs w:val="24"/>
      <w:lang w:val="es-PY" w:eastAsia="en-US"/>
    </w:rPr>
  </w:style>
  <w:style w:type="character" w:customStyle="1" w:styleId="Mencinsinresolver1">
    <w:name w:val="Mención sin resolver1"/>
    <w:basedOn w:val="Fuentedeprrafopredeter"/>
    <w:uiPriority w:val="99"/>
    <w:semiHidden/>
    <w:unhideWhenUsed/>
    <w:rsid w:val="0081137B"/>
    <w:rPr>
      <w:color w:val="605E5C"/>
      <w:shd w:val="clear" w:color="auto" w:fill="E1DFDD"/>
    </w:rPr>
  </w:style>
  <w:style w:type="paragraph" w:styleId="Revisin">
    <w:name w:val="Revision"/>
    <w:hidden/>
    <w:uiPriority w:val="99"/>
    <w:semiHidden/>
    <w:rsid w:val="0091137C"/>
    <w:rPr>
      <w:rFonts w:ascii="Arial" w:hAnsi="Arial"/>
      <w:sz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7D40F0"/>
    <w:rPr>
      <w:rFonts w:ascii="Arial" w:eastAsia="Times New Roman" w:hAnsi="Arial" w:cs="Times New Roman"/>
      <w:b/>
      <w:bCs/>
      <w:lang w:val="es-ES_tradnl" w:eastAsia="es-ES"/>
    </w:rPr>
  </w:style>
  <w:style w:type="character" w:customStyle="1" w:styleId="AsuntodelcomentarioCar">
    <w:name w:val="Asunto del comentario Car"/>
    <w:basedOn w:val="TextocomentarioCar"/>
    <w:link w:val="Asuntodelcomentario"/>
    <w:uiPriority w:val="99"/>
    <w:semiHidden/>
    <w:rsid w:val="007D40F0"/>
    <w:rPr>
      <w:rFonts w:ascii="Arial" w:eastAsiaTheme="minorHAnsi" w:hAnsi="Arial" w:cstheme="minorBidi"/>
      <w:b/>
      <w:bCs/>
      <w:lang w:val="es-ES_tradnl" w:eastAsia="es-ES"/>
    </w:rPr>
  </w:style>
  <w:style w:type="character" w:customStyle="1" w:styleId="ui-provider">
    <w:name w:val="ui-provider"/>
    <w:basedOn w:val="Fuentedeprrafopredeter"/>
    <w:rsid w:val="00151FDC"/>
  </w:style>
  <w:style w:type="character" w:customStyle="1" w:styleId="UnresolvedMention">
    <w:name w:val="Unresolved Mention"/>
    <w:basedOn w:val="Fuentedeprrafopredeter"/>
    <w:uiPriority w:val="99"/>
    <w:semiHidden/>
    <w:unhideWhenUsed/>
    <w:rsid w:val="00A90774"/>
    <w:rPr>
      <w:color w:val="605E5C"/>
      <w:shd w:val="clear" w:color="auto" w:fill="E1DFDD"/>
    </w:rPr>
  </w:style>
  <w:style w:type="character" w:customStyle="1" w:styleId="hgkelc">
    <w:name w:val="hgkelc"/>
    <w:basedOn w:val="Fuentedeprrafopredeter"/>
    <w:rsid w:val="0031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49535">
      <w:bodyDiv w:val="1"/>
      <w:marLeft w:val="0"/>
      <w:marRight w:val="0"/>
      <w:marTop w:val="0"/>
      <w:marBottom w:val="0"/>
      <w:divBdr>
        <w:top w:val="none" w:sz="0" w:space="0" w:color="auto"/>
        <w:left w:val="none" w:sz="0" w:space="0" w:color="auto"/>
        <w:bottom w:val="none" w:sz="0" w:space="0" w:color="auto"/>
        <w:right w:val="none" w:sz="0" w:space="0" w:color="auto"/>
      </w:divBdr>
    </w:div>
    <w:div w:id="466945006">
      <w:bodyDiv w:val="1"/>
      <w:marLeft w:val="0"/>
      <w:marRight w:val="0"/>
      <w:marTop w:val="0"/>
      <w:marBottom w:val="0"/>
      <w:divBdr>
        <w:top w:val="none" w:sz="0" w:space="0" w:color="auto"/>
        <w:left w:val="none" w:sz="0" w:space="0" w:color="auto"/>
        <w:bottom w:val="none" w:sz="0" w:space="0" w:color="auto"/>
        <w:right w:val="none" w:sz="0" w:space="0" w:color="auto"/>
      </w:divBdr>
    </w:div>
    <w:div w:id="618532374">
      <w:bodyDiv w:val="1"/>
      <w:marLeft w:val="0"/>
      <w:marRight w:val="0"/>
      <w:marTop w:val="0"/>
      <w:marBottom w:val="0"/>
      <w:divBdr>
        <w:top w:val="none" w:sz="0" w:space="0" w:color="auto"/>
        <w:left w:val="none" w:sz="0" w:space="0" w:color="auto"/>
        <w:bottom w:val="none" w:sz="0" w:space="0" w:color="auto"/>
        <w:right w:val="none" w:sz="0" w:space="0" w:color="auto"/>
      </w:divBdr>
    </w:div>
    <w:div w:id="621107690">
      <w:bodyDiv w:val="1"/>
      <w:marLeft w:val="0"/>
      <w:marRight w:val="0"/>
      <w:marTop w:val="0"/>
      <w:marBottom w:val="0"/>
      <w:divBdr>
        <w:top w:val="none" w:sz="0" w:space="0" w:color="auto"/>
        <w:left w:val="none" w:sz="0" w:space="0" w:color="auto"/>
        <w:bottom w:val="none" w:sz="0" w:space="0" w:color="auto"/>
        <w:right w:val="none" w:sz="0" w:space="0" w:color="auto"/>
      </w:divBdr>
    </w:div>
    <w:div w:id="703601752">
      <w:bodyDiv w:val="1"/>
      <w:marLeft w:val="0"/>
      <w:marRight w:val="0"/>
      <w:marTop w:val="0"/>
      <w:marBottom w:val="0"/>
      <w:divBdr>
        <w:top w:val="none" w:sz="0" w:space="0" w:color="auto"/>
        <w:left w:val="none" w:sz="0" w:space="0" w:color="auto"/>
        <w:bottom w:val="none" w:sz="0" w:space="0" w:color="auto"/>
        <w:right w:val="none" w:sz="0" w:space="0" w:color="auto"/>
      </w:divBdr>
    </w:div>
    <w:div w:id="739670286">
      <w:bodyDiv w:val="1"/>
      <w:marLeft w:val="0"/>
      <w:marRight w:val="0"/>
      <w:marTop w:val="0"/>
      <w:marBottom w:val="0"/>
      <w:divBdr>
        <w:top w:val="none" w:sz="0" w:space="0" w:color="auto"/>
        <w:left w:val="none" w:sz="0" w:space="0" w:color="auto"/>
        <w:bottom w:val="none" w:sz="0" w:space="0" w:color="auto"/>
        <w:right w:val="none" w:sz="0" w:space="0" w:color="auto"/>
      </w:divBdr>
    </w:div>
    <w:div w:id="938831552">
      <w:bodyDiv w:val="1"/>
      <w:marLeft w:val="0"/>
      <w:marRight w:val="0"/>
      <w:marTop w:val="0"/>
      <w:marBottom w:val="0"/>
      <w:divBdr>
        <w:top w:val="none" w:sz="0" w:space="0" w:color="auto"/>
        <w:left w:val="none" w:sz="0" w:space="0" w:color="auto"/>
        <w:bottom w:val="none" w:sz="0" w:space="0" w:color="auto"/>
        <w:right w:val="none" w:sz="0" w:space="0" w:color="auto"/>
      </w:divBdr>
    </w:div>
    <w:div w:id="943076503">
      <w:bodyDiv w:val="1"/>
      <w:marLeft w:val="0"/>
      <w:marRight w:val="0"/>
      <w:marTop w:val="0"/>
      <w:marBottom w:val="0"/>
      <w:divBdr>
        <w:top w:val="none" w:sz="0" w:space="0" w:color="auto"/>
        <w:left w:val="none" w:sz="0" w:space="0" w:color="auto"/>
        <w:bottom w:val="none" w:sz="0" w:space="0" w:color="auto"/>
        <w:right w:val="none" w:sz="0" w:space="0" w:color="auto"/>
      </w:divBdr>
    </w:div>
    <w:div w:id="1259560918">
      <w:bodyDiv w:val="1"/>
      <w:marLeft w:val="0"/>
      <w:marRight w:val="0"/>
      <w:marTop w:val="0"/>
      <w:marBottom w:val="0"/>
      <w:divBdr>
        <w:top w:val="none" w:sz="0" w:space="0" w:color="auto"/>
        <w:left w:val="none" w:sz="0" w:space="0" w:color="auto"/>
        <w:bottom w:val="none" w:sz="0" w:space="0" w:color="auto"/>
        <w:right w:val="none" w:sz="0" w:space="0" w:color="auto"/>
      </w:divBdr>
    </w:div>
    <w:div w:id="1604847561">
      <w:bodyDiv w:val="1"/>
      <w:marLeft w:val="0"/>
      <w:marRight w:val="0"/>
      <w:marTop w:val="0"/>
      <w:marBottom w:val="0"/>
      <w:divBdr>
        <w:top w:val="none" w:sz="0" w:space="0" w:color="auto"/>
        <w:left w:val="none" w:sz="0" w:space="0" w:color="auto"/>
        <w:bottom w:val="none" w:sz="0" w:space="0" w:color="auto"/>
        <w:right w:val="none" w:sz="0" w:space="0" w:color="auto"/>
      </w:divBdr>
    </w:div>
    <w:div w:id="1926184653">
      <w:bodyDiv w:val="1"/>
      <w:marLeft w:val="0"/>
      <w:marRight w:val="0"/>
      <w:marTop w:val="0"/>
      <w:marBottom w:val="0"/>
      <w:divBdr>
        <w:top w:val="none" w:sz="0" w:space="0" w:color="auto"/>
        <w:left w:val="none" w:sz="0" w:space="0" w:color="auto"/>
        <w:bottom w:val="none" w:sz="0" w:space="0" w:color="auto"/>
        <w:right w:val="none" w:sz="0" w:space="0" w:color="auto"/>
      </w:divBdr>
    </w:div>
    <w:div w:id="1965385736">
      <w:bodyDiv w:val="1"/>
      <w:marLeft w:val="0"/>
      <w:marRight w:val="0"/>
      <w:marTop w:val="0"/>
      <w:marBottom w:val="0"/>
      <w:divBdr>
        <w:top w:val="none" w:sz="0" w:space="0" w:color="auto"/>
        <w:left w:val="none" w:sz="0" w:space="0" w:color="auto"/>
        <w:bottom w:val="none" w:sz="0" w:space="0" w:color="auto"/>
        <w:right w:val="none" w:sz="0" w:space="0" w:color="auto"/>
      </w:divBdr>
    </w:div>
    <w:div w:id="20020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787/4abdba16-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87/38b0fdb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87/7a9638cb-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1787/9789264209022-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lanalto.gov.br/ccivil_03/_ato2019-2022/2020/decreto/d10411.htm" TargetMode="External"/><Relationship Id="rId2" Type="http://schemas.openxmlformats.org/officeDocument/2006/relationships/hyperlink" Target="https://www.planalto.gov.br/ccivil_03/_ato2019-2022/2019/Lei/L13874.htm" TargetMode="External"/><Relationship Id="rId1" Type="http://schemas.openxmlformats.org/officeDocument/2006/relationships/hyperlink" Target="https://www.planalto.gov.br/ccivil_03/_ato2019-2022/2019/Lei/L13848.htm" TargetMode="External"/><Relationship Id="rId5" Type="http://schemas.openxmlformats.org/officeDocument/2006/relationships/hyperlink" Target="https://www.bcb.gov.br/estabilidadefinanceira/analise_impacto_regulatorio/cronologicos" TargetMode="External"/><Relationship Id="rId4" Type="http://schemas.openxmlformats.org/officeDocument/2006/relationships/hyperlink" Target="https://www.planalto.gov.br/ccivil_03/_ato2023-2026/2024/decreto/D12002.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7F36-CAEC-47AF-A7F1-02C49324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2296</Words>
  <Characters>12634</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MERCOSUR/CCM/CT Nº 1/ ACTA N° 7/05</vt:lpstr>
      <vt:lpstr>MERCOSUR/CCM/CT Nº 1/ ACTA N° 7/05</vt:lpstr>
    </vt:vector>
  </TitlesOfParts>
  <Company>Banco Central del Uruguay</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MERCOSUR/CCM/CT Nº 1/ ACTA N° 7/05</dc:title>
  <dc:creator>Sistemas de Informacion</dc:creator>
  <cp:lastModifiedBy>Monica Elizabeth Baez Waller</cp:lastModifiedBy>
  <cp:revision>2</cp:revision>
  <cp:lastPrinted>2021-10-22T21:14:00Z</cp:lastPrinted>
  <dcterms:created xsi:type="dcterms:W3CDTF">2024-10-14T14:22:00Z</dcterms:created>
  <dcterms:modified xsi:type="dcterms:W3CDTF">2024-10-14T14:22:00Z</dcterms:modified>
</cp:coreProperties>
</file>